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3E8DE632" w14:textId="77777777" w:rsidTr="00311CD8">
        <w:trPr>
          <w:trHeight w:val="1714"/>
        </w:trPr>
        <w:tc>
          <w:tcPr>
            <w:tcW w:w="5211" w:type="dxa"/>
            <w:hideMark/>
          </w:tcPr>
          <w:p w14:paraId="6FBA1D95" w14:textId="77777777" w:rsidR="007E1D85" w:rsidRPr="008330E7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20DBE3C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447ED38" w14:textId="77777777" w:rsidR="00653617" w:rsidRPr="00746FF2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06646CFE" w14:textId="77777777" w:rsidR="002768D8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2768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и </w:t>
            </w:r>
            <w:r w:rsidR="00B608C1" w:rsidRPr="00B6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5B5F243" w14:textId="77777777" w:rsidR="00523D82" w:rsidRPr="00746FF2" w:rsidRDefault="002768D8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  <w:r w:rsidR="007E7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401BD1B3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648A64F" w14:textId="77777777" w:rsidR="00523D82" w:rsidRPr="00746FF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</w:p>
          <w:p w14:paraId="2C20D5DB" w14:textId="2AFA98B0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D21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D21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D21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05   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21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 </w:t>
            </w:r>
            <w:r w:rsidRPr="0074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02B8EC08" w14:textId="32E5953E" w:rsidR="00523D82" w:rsidRPr="00D219AA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746FF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D219AA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N052060</w:t>
            </w:r>
          </w:p>
        </w:tc>
        <w:tc>
          <w:tcPr>
            <w:tcW w:w="4536" w:type="dxa"/>
          </w:tcPr>
          <w:p w14:paraId="0B43AE99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4C4E8FD" w14:textId="77777777" w:rsidR="003662F1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2B24D9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1F318B1A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AB21812" w14:textId="77777777" w:rsidR="002C76D7" w:rsidRPr="00844CE8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524A26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F364F4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C74B39E" w14:textId="77777777" w:rsidR="002C76D7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Ливониб</w:t>
      </w:r>
    </w:p>
    <w:p w14:paraId="641B791B" w14:textId="77777777" w:rsidR="00471492" w:rsidRPr="00471492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14:paraId="0D01F04E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E6C9E9B" w14:textId="77777777" w:rsidR="002C76D7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Сорафениб</w:t>
      </w:r>
    </w:p>
    <w:p w14:paraId="480D519C" w14:textId="77777777" w:rsidR="00471492" w:rsidRPr="00471492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14:paraId="4200BB71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123BBDD" w14:textId="77777777" w:rsidR="00B01011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492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</w:t>
      </w:r>
      <w:r w:rsidR="007224B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24B0" w:rsidRPr="007224B0">
        <w:rPr>
          <w:rFonts w:ascii="Times New Roman" w:eastAsia="Times New Roman" w:hAnsi="Times New Roman"/>
          <w:sz w:val="28"/>
          <w:szCs w:val="28"/>
          <w:lang w:eastAsia="ru-RU"/>
        </w:rPr>
        <w:t>200 мг</w:t>
      </w:r>
    </w:p>
    <w:p w14:paraId="42EAD0A5" w14:textId="77777777" w:rsidR="00471492" w:rsidRPr="00844CE8" w:rsidRDefault="0047149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532F18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3428DCD" w14:textId="77777777" w:rsidR="00471492" w:rsidRPr="00471492" w:rsidRDefault="0047149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препараты.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препараты другие.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Протеинкиназы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ингибиторы.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>.</w:t>
      </w:r>
    </w:p>
    <w:p w14:paraId="4B46C265" w14:textId="77777777" w:rsidR="002C76D7" w:rsidRPr="00844CE8" w:rsidRDefault="00471492" w:rsidP="00471492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1492">
        <w:rPr>
          <w:rFonts w:ascii="Times New Roman" w:hAnsi="Times New Roman"/>
          <w:color w:val="000000"/>
          <w:sz w:val="28"/>
          <w:szCs w:val="28"/>
          <w:lang w:val="kk-KZ"/>
        </w:rPr>
        <w:t>Код АТХ L01XE05</w:t>
      </w:r>
      <w:r w:rsidR="002C76D7" w:rsidRPr="00844CE8">
        <w:rPr>
          <w:rFonts w:ascii="Times New Roman" w:hAnsi="Times New Roman"/>
          <w:sz w:val="24"/>
          <w:szCs w:val="24"/>
        </w:rPr>
        <w:br/>
      </w:r>
    </w:p>
    <w:p w14:paraId="749C7D1F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327905B3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показан к лечению гепатоцеллюлярной карциномы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7DC6C2E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показан к лечению распространенного почечно-клеточного рака после неуспешной терапии на основе интерферона альфа или интерлейкина-2 или у пациентов, которым такая терапия не показана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E2F1DD8" w14:textId="77777777" w:rsidR="00844CE8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показан к лечению прогрессирующего, местно-распространенного или метастатического дифференцированного (папиллярный/фолликулярный/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Гюртле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>-клеточный) рака щитовидной железы, рефрактерный к радиоактивному йоду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098A7FB" w14:textId="77777777" w:rsidR="00471492" w:rsidRPr="00844CE8" w:rsidRDefault="00471492" w:rsidP="004714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713115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074D7DC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D89D59C" w14:textId="77777777" w:rsidR="00471492" w:rsidRDefault="00471492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- гиперчувствительность к активному веществу или к любому из вспомогательных компонентов, перечисленных в разделе </w:t>
      </w:r>
      <w:r>
        <w:rPr>
          <w:rFonts w:ascii="Times New Roman" w:hAnsi="Times New Roman"/>
          <w:sz w:val="28"/>
          <w:szCs w:val="28"/>
        </w:rPr>
        <w:t>«состав»</w:t>
      </w:r>
    </w:p>
    <w:p w14:paraId="4BD48E79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46AA44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38289342"/>
      <w:r w:rsidRPr="00471492">
        <w:rPr>
          <w:rFonts w:ascii="Times New Roman" w:hAnsi="Times New Roman"/>
          <w:i/>
          <w:color w:val="000000"/>
          <w:sz w:val="28"/>
          <w:szCs w:val="28"/>
        </w:rPr>
        <w:lastRenderedPageBreak/>
        <w:t>Индукторы метаболических ферментов</w:t>
      </w:r>
    </w:p>
    <w:p w14:paraId="7A2CA0D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Применение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рифампицина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за 5 дней перед назначением однократной дозы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в среднем на 37% снижает значение показателя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. Другие препараты, индуцирующие активность CYP3A4 и/или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глюкоронидизацию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(например, зверобой, фенитоин,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карбамазепин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фенобарбитал и дексаметазон) могут увеличивать метаболизм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и, таким образом, снижать его концентрацию в организме.</w:t>
      </w:r>
    </w:p>
    <w:p w14:paraId="1D242829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>Ингибиторы CYP3A4</w:t>
      </w:r>
    </w:p>
    <w:p w14:paraId="0F2579B3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линические фармакокинетические взаимодействия препарата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 ингибиторами цитохрома CYP3A4 маловероятны.</w:t>
      </w:r>
    </w:p>
    <w:p w14:paraId="2BBA8279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>Субстраты CYP2В6, CYP2C8 и CYP2C9</w:t>
      </w:r>
    </w:p>
    <w:p w14:paraId="2D2C2982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ингибирует </w:t>
      </w: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ин </w:t>
      </w: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витро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ферменты CYP2В6, CYP2C8 и CYP2C9 с одинаковой активностью. </w:t>
      </w:r>
    </w:p>
    <w:p w14:paraId="124139FE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На основании этих данных можно полагать, что препарат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в рекомендуемой дозе 400 мг 2 раза в день не может являться ингибитором фермента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CYP</w:t>
      </w:r>
      <w:r w:rsidRPr="00471492">
        <w:rPr>
          <w:rFonts w:ascii="Times New Roman" w:hAnsi="Times New Roman"/>
          <w:color w:val="000000"/>
          <w:sz w:val="28"/>
          <w:szCs w:val="28"/>
        </w:rPr>
        <w:t>2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471492">
        <w:rPr>
          <w:rFonts w:ascii="Times New Roman" w:hAnsi="Times New Roman"/>
          <w:color w:val="000000"/>
          <w:sz w:val="28"/>
          <w:szCs w:val="28"/>
        </w:rPr>
        <w:t>6 или С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YP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2В8. </w:t>
      </w:r>
    </w:p>
    <w:p w14:paraId="6B5A8FF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Кроме того, одновременный прием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варфарина, субстрата CYP2В9 не привел к изменению средних значений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протромбинового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времени и международного нормализованного отношения (МНО) в сравнении с плацебо. Следовательно, ожидаемый риск развития клинически значимого ингибирования </w:t>
      </w:r>
      <w:r w:rsidRPr="00471492">
        <w:rPr>
          <w:rFonts w:ascii="Times New Roman" w:hAnsi="Times New Roman"/>
          <w:i/>
          <w:color w:val="000000"/>
          <w:sz w:val="28"/>
          <w:szCs w:val="28"/>
          <w:lang w:val="en-US"/>
        </w:rPr>
        <w:t>in</w:t>
      </w: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i/>
          <w:color w:val="000000"/>
          <w:sz w:val="28"/>
          <w:szCs w:val="28"/>
          <w:lang w:val="en-US"/>
        </w:rPr>
        <w:t>vivo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также является низким. Однако рекомендуется регулярное определение показателя МНО всем пациентам, получающим терапию варфарином или </w:t>
      </w:r>
      <w:proofErr w:type="spellStart"/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>фенпрокумон</w:t>
      </w:r>
      <w:r w:rsidRPr="00471492">
        <w:rPr>
          <w:rFonts w:ascii="Times New Roman" w:hAnsi="Times New Roman"/>
          <w:iCs/>
          <w:color w:val="000000"/>
          <w:sz w:val="28"/>
          <w:szCs w:val="28"/>
        </w:rPr>
        <w:t>ом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>.</w:t>
      </w:r>
      <w:r w:rsidRPr="0047149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0C524756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Субстраты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>CYP3A4, CYP2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D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6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B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и CYP2C19</w:t>
      </w:r>
    </w:p>
    <w:p w14:paraId="4B8755B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При одновременном применении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мидазолама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декстрометорфана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омепразола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>, которые являются субстратами цитохромов CYP3A4, CYP2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и CYP2C19, соответственно, не происходило изменения экспозиции данных препаратов. Это свидетельствует о том, что</w:t>
      </w: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не ингибирует, не индуцирует изоферменты из группы цитохрома P450.  На основании этих данных можно полагать, что клинические фармакокинетические взаимодействия препарата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 субстратами этих ферментов маловероятны.</w:t>
      </w:r>
    </w:p>
    <w:p w14:paraId="21F0B636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bCs/>
          <w:i/>
          <w:color w:val="000000"/>
          <w:sz w:val="28"/>
          <w:szCs w:val="28"/>
        </w:rPr>
        <w:t xml:space="preserve">Субстраты UGT1A1 и UGT1A9 </w:t>
      </w:r>
    </w:p>
    <w:p w14:paraId="2A8AEFD7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>Клиническая значимость этих данных неизвестна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1FC3C1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Исследования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vitro</w:t>
      </w: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 с индукцией ферментов </w:t>
      </w:r>
      <w:r w:rsidRPr="00471492">
        <w:rPr>
          <w:rFonts w:ascii="Times New Roman" w:hAnsi="Times New Roman"/>
          <w:i/>
          <w:color w:val="000000"/>
          <w:sz w:val="28"/>
          <w:szCs w:val="28"/>
          <w:lang w:val="en-US"/>
        </w:rPr>
        <w:t>CYP</w:t>
      </w:r>
    </w:p>
    <w:p w14:paraId="70A582E0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Лечение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культуральных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гепатоцитов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человека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не сопровождалось изменением активности ферментов CYP1A2 и CYP3A4, указывающее на то, что индукция этих ферментов маловероятна на фоне применения препарата.    </w:t>
      </w:r>
    </w:p>
    <w:p w14:paraId="189ABB52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bCs/>
          <w:i/>
          <w:color w:val="000000"/>
          <w:sz w:val="28"/>
          <w:szCs w:val="28"/>
        </w:rPr>
        <w:t xml:space="preserve">Субстраты </w:t>
      </w:r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Р-гликопротеина </w:t>
      </w:r>
    </w:p>
    <w:p w14:paraId="0310FAA8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Исследования </w:t>
      </w:r>
      <w:proofErr w:type="spellStart"/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>in</w:t>
      </w:r>
      <w:proofErr w:type="spellEnd"/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>vitro</w:t>
      </w:r>
      <w:proofErr w:type="spellEnd"/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показывают,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орарафениб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является ингибитором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>транспорта Р-гликопротеина</w:t>
      </w:r>
      <w:r w:rsidRPr="00471492">
        <w:rPr>
          <w:rFonts w:ascii="Times New Roman" w:hAnsi="Times New Roman"/>
          <w:iCs/>
          <w:color w:val="000000"/>
          <w:sz w:val="28"/>
          <w:szCs w:val="28"/>
        </w:rPr>
        <w:t>. При о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дновременном назначении препарата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lastRenderedPageBreak/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>повышение плазменной концентрации субстратов</w:t>
      </w:r>
      <w:r w:rsidRPr="0047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Р-гликопротеина, таких как дигоксин, не может исключаться.  </w:t>
      </w:r>
    </w:p>
    <w:p w14:paraId="3D6CA58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>Комбинация с другими противоопухолевыми препаратами</w:t>
      </w:r>
    </w:p>
    <w:p w14:paraId="0C17AD47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471492">
        <w:rPr>
          <w:rFonts w:ascii="Times New Roman" w:hAnsi="Times New Roman"/>
          <w:iCs/>
          <w:color w:val="000000"/>
          <w:sz w:val="28"/>
          <w:szCs w:val="28"/>
        </w:rPr>
        <w:t>В исследованиях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vitro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назначался вместе с другими различными противоопухолевыми препаратами при их общих рекомендуемых схемах дозирования, такими как,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гемцитабин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цисплатин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оксалиплатин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капецитабин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доксорубицин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иринотекан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доцетаксел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циклофосфамид.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не оказывал клинически значимого влияния на фармакокинетику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гемцитабина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цисплатина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оксалиплатина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или циклофосфамида.</w:t>
      </w:r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</w:p>
    <w:p w14:paraId="035F36DE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Паклитаксел</w:t>
      </w:r>
      <w:proofErr w:type="spellEnd"/>
      <w:r w:rsidRPr="00471492">
        <w:rPr>
          <w:rFonts w:ascii="Times New Roman" w:hAnsi="Times New Roman"/>
          <w:i/>
          <w:color w:val="000000"/>
          <w:sz w:val="28"/>
          <w:szCs w:val="28"/>
        </w:rPr>
        <w:t>/</w:t>
      </w: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карбоплатин</w:t>
      </w:r>
      <w:proofErr w:type="spellEnd"/>
    </w:p>
    <w:p w14:paraId="76C88D5B" w14:textId="77777777" w:rsidR="00471492" w:rsidRPr="00471492" w:rsidRDefault="00471492" w:rsidP="00471492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  Применение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(225 мг/м</w:t>
      </w:r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)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= 6) вместе с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(в дозе ≤ 400мг х 2 раза в день) с 3-х дневными перерывами (2 дня до и в день назначения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), не оказывало существенного влияния на фармакокинетику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6E3CA6F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Одновременное применение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(225 мг/м</w:t>
      </w:r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х 1 раз в 3 недели)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=6) вместе с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(400 мг х 2 раза в день непрерывно) сопровождается увеличением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47%,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29% и 6-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OH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50%. Изменений в фармакокинетике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не отмечено. </w:t>
      </w:r>
    </w:p>
    <w:p w14:paraId="6BD9A6D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Эти данные указывают на то, что нет необходимости в коррекции дозы, когда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назначаются одновременно с препаратом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 3-х дневными перерывами в приеме препарата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(2 дня до и в день назначения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карбоплатина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). Клиническое значение повышения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паклитаксела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при одновременном приеме с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без перерыва неизвестно. </w:t>
      </w:r>
    </w:p>
    <w:p w14:paraId="17E36260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Капецитабин</w:t>
      </w:r>
      <w:proofErr w:type="spellEnd"/>
    </w:p>
    <w:p w14:paraId="0941BA8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Одновременное применение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капецитабина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 (750-1050 мг/ м</w:t>
      </w:r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х 2 раза в день  с 1 по  14 дни каждые 21 день) 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(200 или 400 мг х 2 раза в день непрерывно длительно) не приводило к значительным изменениям в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но при этом отмечалось увеличение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капецитабина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15-50% и экспозиции 5-фторурацила на  0-52%. Клиническое значение этого небольшого до умеренного увеличения в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капецетабина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5-фторурацила при одновременном применении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неизвестно. </w:t>
      </w:r>
    </w:p>
    <w:p w14:paraId="399E2CC8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Доксорубицин</w:t>
      </w:r>
      <w:proofErr w:type="spellEnd"/>
      <w:r w:rsidRPr="00471492">
        <w:rPr>
          <w:rFonts w:ascii="Times New Roman" w:hAnsi="Times New Roman"/>
          <w:i/>
          <w:color w:val="000000"/>
          <w:sz w:val="28"/>
          <w:szCs w:val="28"/>
        </w:rPr>
        <w:t>/</w:t>
      </w: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Иринотекан</w:t>
      </w:r>
      <w:proofErr w:type="spellEnd"/>
    </w:p>
    <w:p w14:paraId="0428B6AC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Одновременное назначение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доксорубицина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приводит к увеличению показателя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доксорубицина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21%. При одновременном назначении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иринотекана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активный метаболит которого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SN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-38 в дальнейшем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метаболизируется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 участием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UGT</w:t>
      </w:r>
      <w:r w:rsidRPr="00471492">
        <w:rPr>
          <w:rFonts w:ascii="Times New Roman" w:hAnsi="Times New Roman"/>
          <w:color w:val="000000"/>
          <w:sz w:val="28"/>
          <w:szCs w:val="28"/>
        </w:rPr>
        <w:t>1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1, отмечалось увеличение показателя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SN</w:t>
      </w:r>
      <w:r w:rsidRPr="00471492">
        <w:rPr>
          <w:rFonts w:ascii="Times New Roman" w:hAnsi="Times New Roman"/>
          <w:color w:val="000000"/>
          <w:sz w:val="28"/>
          <w:szCs w:val="28"/>
        </w:rPr>
        <w:t>-38 на 67</w:t>
      </w:r>
      <w:r w:rsidRPr="00471492">
        <w:rPr>
          <w:rFonts w:ascii="Times New Roman" w:hAnsi="Times New Roman"/>
          <w:color w:val="000000"/>
          <w:sz w:val="28"/>
          <w:szCs w:val="28"/>
        </w:rPr>
        <w:noBreakHyphen/>
        <w:t xml:space="preserve">120% и увеличение показателя </w:t>
      </w:r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AUC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иринотекана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на 26-42 %. Клиническое значение данных наблюдений неизвестно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F498F0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lastRenderedPageBreak/>
        <w:t>Доцетаксел</w:t>
      </w:r>
      <w:proofErr w:type="spellEnd"/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4A9BE85C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Одновременное применение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доцетаксела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(по 75 или 100 мг/м</w:t>
      </w:r>
      <w:r w:rsidRPr="0047149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однократно через каждые 21 день)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(200 или 400 мг х 2 раза в день со 2 по 19 день в течение 21-дневного цикла) с 3-х дневными перерывами до и после назначения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доцетаксела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сопровождается увеличением AUC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71492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ma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  <w:vertAlign w:val="subscript"/>
        </w:rPr>
        <w:t>х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доцетаксела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соответственно на 36-80 % и 16-32 %. Рекомендовано соблюдать осторожность при совместном назначении препарата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доцетаксела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5A2DDB9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92">
        <w:rPr>
          <w:rFonts w:ascii="Times New Roman" w:hAnsi="Times New Roman"/>
          <w:i/>
          <w:color w:val="000000"/>
          <w:sz w:val="28"/>
          <w:szCs w:val="28"/>
        </w:rPr>
        <w:t>Комбинация с другими препаратами</w:t>
      </w:r>
    </w:p>
    <w:p w14:paraId="2C4E760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color w:val="000000"/>
          <w:sz w:val="28"/>
          <w:szCs w:val="28"/>
        </w:rPr>
        <w:t>Неомицин</w:t>
      </w:r>
      <w:proofErr w:type="spellEnd"/>
      <w:r w:rsidRPr="004714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5913485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1492">
        <w:rPr>
          <w:rFonts w:ascii="Times New Roman" w:hAnsi="Times New Roman"/>
          <w:color w:val="000000"/>
          <w:sz w:val="28"/>
          <w:szCs w:val="28"/>
        </w:rPr>
        <w:t xml:space="preserve">Одновременный прием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неомицина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, несистемного антибактериального препарата, применяемого для эрадикации желудочно-кишечной флоры, воздействует на энтерогепатическую циркуляцию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471492">
        <w:rPr>
          <w:rFonts w:ascii="Times New Roman" w:hAnsi="Times New Roman"/>
          <w:color w:val="000000"/>
          <w:sz w:val="28"/>
          <w:szCs w:val="28"/>
        </w:rPr>
        <w:t xml:space="preserve">приводя к снижению экспозиции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. Эффекты других антибиотиков не изучены, однако вероятно эти эффекты будут обусловлены их способностью воздействовать с микроорганизмами, обладающих </w:t>
      </w:r>
      <w:proofErr w:type="spellStart"/>
      <w:r w:rsidRPr="00471492">
        <w:rPr>
          <w:rFonts w:ascii="Times New Roman" w:hAnsi="Times New Roman"/>
          <w:color w:val="000000"/>
          <w:sz w:val="28"/>
          <w:szCs w:val="28"/>
        </w:rPr>
        <w:t>глюкуронидазной</w:t>
      </w:r>
      <w:proofErr w:type="spellEnd"/>
      <w:r w:rsidRPr="00471492">
        <w:rPr>
          <w:rFonts w:ascii="Times New Roman" w:hAnsi="Times New Roman"/>
          <w:color w:val="000000"/>
          <w:sz w:val="28"/>
          <w:szCs w:val="28"/>
        </w:rPr>
        <w:t xml:space="preserve"> активностью.  </w:t>
      </w:r>
    </w:p>
    <w:bookmarkEnd w:id="1"/>
    <w:p w14:paraId="53CAB188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2098147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Ладонно-подошвенный кожный синдром (ладонно-подошвенная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эритродизэстезия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) и сыпь относятся к наиболее часто наблюдаемым нежелательным явлениям при лечении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. Как правило, эти реакции бывают 1 или 2 степени тяжести по критериям СТС (общим критериям токсичности Национального института рака) и наблюдаются в течение первых шести недель лечения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>.</w:t>
      </w:r>
    </w:p>
    <w:p w14:paraId="61B15696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Для лечения кожных токсических реакций можно использовать местную симптоматическую терапию. При необходимости, следует временно прекратить лечение и/или скорректировать дозу препарата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или, в тяжелых или повторяющихся случаях кожных реакций, терапию препаратом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отменить.</w:t>
      </w:r>
    </w:p>
    <w:p w14:paraId="6B539181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71492">
        <w:rPr>
          <w:rFonts w:ascii="Times New Roman" w:hAnsi="Times New Roman"/>
          <w:bCs/>
          <w:i/>
          <w:sz w:val="28"/>
          <w:szCs w:val="28"/>
        </w:rPr>
        <w:t>Артериальная гипертензия</w:t>
      </w:r>
    </w:p>
    <w:p w14:paraId="0001F9F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Во время лечения препаратом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следует регулярно контролировать артериальное давление и, при необходимости, корректировать его повышение стандартной антигипертензивной терапией. В случаях развития тяжелой или стойкой артериальной гипертензии или при появлении гипертонических кризов, несмотря на проведение адекватной антигипертензивной терапии, следует рассмотреть вопрос о прекращении лечения препаратом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>.</w:t>
      </w:r>
    </w:p>
    <w:p w14:paraId="66DFA5E3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71492">
        <w:rPr>
          <w:rFonts w:ascii="Times New Roman" w:hAnsi="Times New Roman"/>
          <w:bCs/>
          <w:i/>
          <w:iCs/>
          <w:sz w:val="28"/>
          <w:szCs w:val="28"/>
        </w:rPr>
        <w:t xml:space="preserve">Аневризмы и рассечение артерий </w:t>
      </w:r>
    </w:p>
    <w:p w14:paraId="2CEBECE7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Применение ингибиторов VEGF (факторы роста эндотелия сосудов) у пациентов с гипертензией или без нее может способствовать образованию аневризм и/или расслоению артерий. Перед началом лечения препаратом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>, этот риск следует тщательно рассмотреть у пациентов с такими факторами риска, как гипертензия или аневризма в анамнезе.</w:t>
      </w:r>
    </w:p>
    <w:p w14:paraId="71EC2FC8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71492">
        <w:rPr>
          <w:rFonts w:ascii="Times New Roman" w:hAnsi="Times New Roman"/>
          <w:bCs/>
          <w:i/>
          <w:iCs/>
          <w:sz w:val="28"/>
          <w:szCs w:val="28"/>
        </w:rPr>
        <w:lastRenderedPageBreak/>
        <w:t>Гипогликемия</w:t>
      </w:r>
    </w:p>
    <w:p w14:paraId="0CF21202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Во время лечения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сообщалось о снижении уровня глюкозы в крови, в некоторых случаях клинически симптоматическом и требующем госпитализации в связи с потерей сознания. В случае симптоматической гипогликемии прием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следует временно прервать. Уровень глюкозы в крови у пациентов с сахарным диабетом следует регулярно проверять, чтобы определить, требуется ли корректировать дозировку противодиабетического лекарственного средства.</w:t>
      </w:r>
    </w:p>
    <w:p w14:paraId="3DA97E10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71492">
        <w:rPr>
          <w:rFonts w:ascii="Times New Roman" w:hAnsi="Times New Roman"/>
          <w:bCs/>
          <w:i/>
          <w:iCs/>
          <w:sz w:val="28"/>
          <w:szCs w:val="28"/>
        </w:rPr>
        <w:t>Кровотечения</w:t>
      </w:r>
    </w:p>
    <w:p w14:paraId="2A56138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1492">
        <w:rPr>
          <w:rFonts w:ascii="Times New Roman" w:hAnsi="Times New Roman"/>
          <w:bCs/>
          <w:iCs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 может повышать риск кровотечений. При появлении любого кровотечения, требующего медицинского вмешательства, рекомендуется рассмотреть вопрос о прекращении лечения </w:t>
      </w:r>
      <w:proofErr w:type="spellStart"/>
      <w:r w:rsidRPr="00471492">
        <w:rPr>
          <w:rFonts w:ascii="Times New Roman" w:hAnsi="Times New Roman"/>
          <w:bCs/>
          <w:iCs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4337716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Ишемия миокарда и/или инфаркт миокарда</w:t>
      </w:r>
    </w:p>
    <w:p w14:paraId="4106CDC5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возникновении ишемии и/или инфаркта миокарда следует временно прекратить или отменить терапию препаратом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>.</w:t>
      </w:r>
    </w:p>
    <w:p w14:paraId="3D10C560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 xml:space="preserve">Удлинение интервала </w:t>
      </w:r>
      <w:r w:rsidRPr="00471492">
        <w:rPr>
          <w:rFonts w:ascii="Times New Roman" w:hAnsi="Times New Roman"/>
          <w:i/>
          <w:sz w:val="28"/>
          <w:szCs w:val="28"/>
          <w:lang w:val="en-US"/>
        </w:rPr>
        <w:t>QT</w:t>
      </w:r>
    </w:p>
    <w:p w14:paraId="4770C04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применении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отмечалось удлинение интервала QT/</w:t>
      </w:r>
      <w:r w:rsidRPr="00471492">
        <w:rPr>
          <w:rFonts w:ascii="Times New Roman" w:hAnsi="Times New Roman"/>
          <w:sz w:val="28"/>
          <w:szCs w:val="28"/>
          <w:lang w:val="en-US"/>
        </w:rPr>
        <w:t>QTc</w:t>
      </w:r>
      <w:r w:rsidRPr="00471492">
        <w:rPr>
          <w:rFonts w:ascii="Times New Roman" w:hAnsi="Times New Roman"/>
          <w:sz w:val="28"/>
          <w:szCs w:val="28"/>
        </w:rPr>
        <w:t xml:space="preserve">, что может приводить к повышенной частоте желудочковых аритмий. Следовательно, препарат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следует применять с осторожностью у пациентов с наличием удлинения интервала </w:t>
      </w:r>
      <w:r w:rsidRPr="00471492">
        <w:rPr>
          <w:rFonts w:ascii="Times New Roman" w:hAnsi="Times New Roman"/>
          <w:sz w:val="28"/>
          <w:szCs w:val="28"/>
          <w:lang w:val="en-US"/>
        </w:rPr>
        <w:t>QT</w:t>
      </w:r>
      <w:r w:rsidRPr="00471492">
        <w:rPr>
          <w:rFonts w:ascii="Times New Roman" w:hAnsi="Times New Roman"/>
          <w:sz w:val="28"/>
          <w:szCs w:val="28"/>
        </w:rPr>
        <w:t xml:space="preserve">с, в том числе врожденного характера или при наличии предпосылок к развитию удлинения интервала </w:t>
      </w:r>
      <w:r w:rsidRPr="00471492">
        <w:rPr>
          <w:rFonts w:ascii="Times New Roman" w:hAnsi="Times New Roman"/>
          <w:sz w:val="28"/>
          <w:szCs w:val="28"/>
          <w:lang w:val="en-US"/>
        </w:rPr>
        <w:t>QT</w:t>
      </w:r>
      <w:r w:rsidRPr="00471492">
        <w:rPr>
          <w:rFonts w:ascii="Times New Roman" w:hAnsi="Times New Roman"/>
          <w:sz w:val="28"/>
          <w:szCs w:val="28"/>
        </w:rPr>
        <w:t xml:space="preserve">; при лечении высокими кумулятивными дозами </w:t>
      </w:r>
      <w:proofErr w:type="spellStart"/>
      <w:r w:rsidRPr="00471492">
        <w:rPr>
          <w:rFonts w:ascii="Times New Roman" w:hAnsi="Times New Roman"/>
          <w:sz w:val="28"/>
          <w:szCs w:val="28"/>
        </w:rPr>
        <w:t>антрациклиновых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препаратов; при приеме определенных антиаритмических препаратов или других препаратов, которые могут приводить к удлинению интервала </w:t>
      </w:r>
      <w:r w:rsidRPr="00471492">
        <w:rPr>
          <w:rFonts w:ascii="Times New Roman" w:hAnsi="Times New Roman"/>
          <w:sz w:val="28"/>
          <w:szCs w:val="28"/>
          <w:lang w:val="en-US"/>
        </w:rPr>
        <w:t>QT</w:t>
      </w:r>
      <w:r w:rsidRPr="00471492">
        <w:rPr>
          <w:rFonts w:ascii="Times New Roman" w:hAnsi="Times New Roman"/>
          <w:sz w:val="28"/>
          <w:szCs w:val="28"/>
        </w:rPr>
        <w:t xml:space="preserve">; при наличии электролитных нарушений, таких как, </w:t>
      </w:r>
      <w:proofErr w:type="spellStart"/>
      <w:r w:rsidRPr="00471492">
        <w:rPr>
          <w:rFonts w:ascii="Times New Roman" w:hAnsi="Times New Roman"/>
          <w:sz w:val="28"/>
          <w:szCs w:val="28"/>
        </w:rPr>
        <w:t>гипокалиемия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sz w:val="28"/>
          <w:szCs w:val="28"/>
        </w:rPr>
        <w:t>гипокальциемия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1492">
        <w:rPr>
          <w:rFonts w:ascii="Times New Roman" w:hAnsi="Times New Roman"/>
          <w:sz w:val="28"/>
          <w:szCs w:val="28"/>
        </w:rPr>
        <w:t>гипомагнезиемия</w:t>
      </w:r>
      <w:proofErr w:type="spellEnd"/>
      <w:r w:rsidRPr="00471492">
        <w:rPr>
          <w:rFonts w:ascii="Times New Roman" w:hAnsi="Times New Roman"/>
          <w:sz w:val="28"/>
          <w:szCs w:val="28"/>
        </w:rPr>
        <w:t>. При этом у пациентов следует периодически проводить электрокардиографию и определять уровень электролитов (магний, калий, кальций) крови.</w:t>
      </w:r>
    </w:p>
    <w:p w14:paraId="4B8E2E4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Прободение желудочно-кишечного тракта (ЖКТ)</w:t>
      </w:r>
    </w:p>
    <w:p w14:paraId="28932221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появлении перфорации в ЖКТ терапию препаратом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следует прекратить.</w:t>
      </w:r>
    </w:p>
    <w:p w14:paraId="2F9123E1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Нарушение функции печени</w:t>
      </w:r>
    </w:p>
    <w:p w14:paraId="6E1A4B0C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Поскольку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выводится из организма преимущественно через печень, экспозиция </w:t>
      </w:r>
      <w:r>
        <w:rPr>
          <w:rFonts w:ascii="Times New Roman" w:hAnsi="Times New Roman"/>
          <w:sz w:val="28"/>
          <w:szCs w:val="28"/>
        </w:rPr>
        <w:t xml:space="preserve">препарата </w:t>
      </w:r>
      <w:r w:rsidRPr="00471492">
        <w:rPr>
          <w:rFonts w:ascii="Times New Roman" w:hAnsi="Times New Roman"/>
          <w:sz w:val="28"/>
          <w:szCs w:val="28"/>
        </w:rPr>
        <w:t>у пациентов с тяжелыми нарушениями функции печени может быть повышена.</w:t>
      </w:r>
    </w:p>
    <w:p w14:paraId="01BE032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Совместный прием с варфарином</w:t>
      </w:r>
    </w:p>
    <w:p w14:paraId="718C738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совместном назначении варфарина 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, у некоторых пациентов отмечались нечастые эпизоды кровотечения или повышение показателя МНО. При совместном назначении варфарина или </w:t>
      </w:r>
      <w:proofErr w:type="spellStart"/>
      <w:r w:rsidRPr="00471492">
        <w:rPr>
          <w:rFonts w:ascii="Times New Roman" w:hAnsi="Times New Roman"/>
          <w:sz w:val="28"/>
          <w:szCs w:val="28"/>
        </w:rPr>
        <w:t>фенпрокумона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необходим регулярный мониторинг показателей </w:t>
      </w:r>
      <w:proofErr w:type="spellStart"/>
      <w:r w:rsidRPr="00471492">
        <w:rPr>
          <w:rFonts w:ascii="Times New Roman" w:hAnsi="Times New Roman"/>
          <w:sz w:val="28"/>
          <w:szCs w:val="28"/>
        </w:rPr>
        <w:t>протромбинового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времени, МНО, клинических признаков кровотечения.</w:t>
      </w:r>
    </w:p>
    <w:p w14:paraId="34397D0E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Заживление ран</w:t>
      </w:r>
    </w:p>
    <w:p w14:paraId="1C7F5FA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lastRenderedPageBreak/>
        <w:t xml:space="preserve">В случае проведения обширных хирургических вмешательств, рекомендуется временное прекращение терапии препаратом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с целью предосторожности. Клинический опыт касательно времени повторного начала лечения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сорафенибом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после обширного хирургического вмешательства ограничен. В этой связи решение о возобновлении терапии препаратом после обширных хирургических вмешательств должно основываться на клинической оценке адекватности заживления ран.</w:t>
      </w:r>
    </w:p>
    <w:p w14:paraId="5D861E4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Пациенты пожилого возраста</w:t>
      </w:r>
    </w:p>
    <w:p w14:paraId="7D45617C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>Сообщалось о случаях почечной недостаточности. У данных пациентов следует рассмотреть вопрос о необходимости проведения мониторинга почечной функции.</w:t>
      </w:r>
    </w:p>
    <w:p w14:paraId="69B9D95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1492">
        <w:rPr>
          <w:rFonts w:ascii="Times New Roman" w:hAnsi="Times New Roman"/>
          <w:i/>
          <w:iCs/>
          <w:sz w:val="28"/>
          <w:szCs w:val="28"/>
        </w:rPr>
        <w:t>Лекарственные взаимодействия</w:t>
      </w:r>
    </w:p>
    <w:p w14:paraId="19D4C6C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одновременном назначении препарата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вместе с препаратами, которые преимущественно </w:t>
      </w:r>
      <w:proofErr w:type="spellStart"/>
      <w:r w:rsidRPr="00471492">
        <w:rPr>
          <w:rFonts w:ascii="Times New Roman" w:hAnsi="Times New Roman"/>
          <w:sz w:val="28"/>
          <w:szCs w:val="28"/>
        </w:rPr>
        <w:t>метаболизируются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/выводятся с участием </w:t>
      </w:r>
      <w:r w:rsidRPr="00471492">
        <w:rPr>
          <w:rFonts w:ascii="Times New Roman" w:hAnsi="Times New Roman"/>
          <w:sz w:val="28"/>
          <w:szCs w:val="28"/>
          <w:lang w:val="en-US"/>
        </w:rPr>
        <w:t>UGT</w:t>
      </w:r>
      <w:r w:rsidRPr="00471492">
        <w:rPr>
          <w:rFonts w:ascii="Times New Roman" w:hAnsi="Times New Roman"/>
          <w:sz w:val="28"/>
          <w:szCs w:val="28"/>
        </w:rPr>
        <w:t>1</w:t>
      </w:r>
      <w:r w:rsidRPr="00471492">
        <w:rPr>
          <w:rFonts w:ascii="Times New Roman" w:hAnsi="Times New Roman"/>
          <w:sz w:val="28"/>
          <w:szCs w:val="28"/>
          <w:lang w:val="en-US"/>
        </w:rPr>
        <w:t>A</w:t>
      </w:r>
      <w:r w:rsidRPr="00471492">
        <w:rPr>
          <w:rFonts w:ascii="Times New Roman" w:hAnsi="Times New Roman"/>
          <w:sz w:val="28"/>
          <w:szCs w:val="28"/>
        </w:rPr>
        <w:t xml:space="preserve">1 (например, </w:t>
      </w:r>
      <w:proofErr w:type="spellStart"/>
      <w:r w:rsidRPr="00471492">
        <w:rPr>
          <w:rFonts w:ascii="Times New Roman" w:hAnsi="Times New Roman"/>
          <w:sz w:val="28"/>
          <w:szCs w:val="28"/>
        </w:rPr>
        <w:t>иринотекан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) или </w:t>
      </w:r>
      <w:r w:rsidRPr="00471492">
        <w:rPr>
          <w:rFonts w:ascii="Times New Roman" w:hAnsi="Times New Roman"/>
          <w:sz w:val="28"/>
          <w:szCs w:val="28"/>
          <w:lang w:val="en-US"/>
        </w:rPr>
        <w:t>UGT</w:t>
      </w:r>
      <w:r w:rsidRPr="00471492">
        <w:rPr>
          <w:rFonts w:ascii="Times New Roman" w:hAnsi="Times New Roman"/>
          <w:sz w:val="28"/>
          <w:szCs w:val="28"/>
        </w:rPr>
        <w:t>1</w:t>
      </w:r>
      <w:r w:rsidRPr="00471492">
        <w:rPr>
          <w:rFonts w:ascii="Times New Roman" w:hAnsi="Times New Roman"/>
          <w:sz w:val="28"/>
          <w:szCs w:val="28"/>
          <w:lang w:val="en-US"/>
        </w:rPr>
        <w:t>A</w:t>
      </w:r>
      <w:r w:rsidRPr="00471492">
        <w:rPr>
          <w:rFonts w:ascii="Times New Roman" w:hAnsi="Times New Roman"/>
          <w:sz w:val="28"/>
          <w:szCs w:val="28"/>
        </w:rPr>
        <w:t xml:space="preserve">9 следует соблюдать осторожность. </w:t>
      </w:r>
    </w:p>
    <w:p w14:paraId="12DAEC7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Следует соблюдать осторожность при одновременном назначении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71492">
        <w:rPr>
          <w:rFonts w:ascii="Times New Roman" w:hAnsi="Times New Roman"/>
          <w:sz w:val="28"/>
          <w:szCs w:val="28"/>
        </w:rPr>
        <w:t>доцетаксела</w:t>
      </w:r>
      <w:proofErr w:type="spellEnd"/>
      <w:r w:rsidRPr="00471492">
        <w:rPr>
          <w:rFonts w:ascii="Times New Roman" w:hAnsi="Times New Roman"/>
          <w:sz w:val="28"/>
          <w:szCs w:val="28"/>
        </w:rPr>
        <w:t>.</w:t>
      </w:r>
    </w:p>
    <w:p w14:paraId="73AEEDE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Одновременное применение </w:t>
      </w:r>
      <w:proofErr w:type="spellStart"/>
      <w:r w:rsidRPr="00471492">
        <w:rPr>
          <w:rFonts w:ascii="Times New Roman" w:hAnsi="Times New Roman"/>
          <w:sz w:val="28"/>
          <w:szCs w:val="28"/>
        </w:rPr>
        <w:t>неомицина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или других антибиотиков, которые в значительной степени вызывают нарушение микрофлоры желудочно-кишечного тракта, может привести к снижению биодоступности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. Перед началом курса лечения антибиотиками следует принять во внимание риск снижения концентрации </w:t>
      </w:r>
      <w:proofErr w:type="spellStart"/>
      <w:r w:rsidRPr="00471492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в плазме крови. </w:t>
      </w:r>
    </w:p>
    <w:p w14:paraId="18E94169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1492">
        <w:rPr>
          <w:rFonts w:ascii="Times New Roman" w:hAnsi="Times New Roman"/>
          <w:i/>
          <w:iCs/>
          <w:sz w:val="28"/>
          <w:szCs w:val="28"/>
        </w:rPr>
        <w:t>Предупреждения о конкретных заболеваниях</w:t>
      </w:r>
    </w:p>
    <w:p w14:paraId="477F1D1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Дифференцированный рак щитовидной железы</w:t>
      </w:r>
    </w:p>
    <w:p w14:paraId="728C64FB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>Перед началом терапии врачу рекомендуется тщательно оценить прогноз заболевания у каждого отдельного пациента с учетом максимального размера поражения, симптомов, связанных с заболеванием и скорости прогрессирования.</w:t>
      </w:r>
    </w:p>
    <w:p w14:paraId="0F0AD8AA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Лечение подозреваемых побочных реакций может потребовать временной отмены или снижения дозы препарата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. </w:t>
      </w:r>
    </w:p>
    <w:p w14:paraId="2E269F6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Снижение дозы препарата только частично смягчало проявление побочных реакций. Следовательно, рекомендуется проводить повторную оценку соотношения пользы/риска с учетом противоопухолевой активности и переносимости. </w:t>
      </w:r>
    </w:p>
    <w:p w14:paraId="1ABD8A8F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Кровотечения при дифференцированном раке щитовидной железы</w:t>
      </w:r>
    </w:p>
    <w:p w14:paraId="74795182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Учитывая потенциальный риск кровотечения, у пациентов с дифференцированным раком щитовидной железы перед назначением препарата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71492">
        <w:rPr>
          <w:rFonts w:ascii="Times New Roman" w:hAnsi="Times New Roman"/>
          <w:sz w:val="28"/>
          <w:szCs w:val="28"/>
        </w:rPr>
        <w:t>следует провести местное лечение опухолевых инфильтратов трахеи, бронхов и пищевода.</w:t>
      </w:r>
    </w:p>
    <w:p w14:paraId="6D38E5F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71492">
        <w:rPr>
          <w:rFonts w:ascii="Times New Roman" w:hAnsi="Times New Roman"/>
          <w:i/>
          <w:iCs/>
          <w:sz w:val="28"/>
          <w:szCs w:val="28"/>
        </w:rPr>
        <w:t>Гипокальцемия</w:t>
      </w:r>
      <w:proofErr w:type="spellEnd"/>
      <w:r w:rsidRPr="00471492">
        <w:rPr>
          <w:rFonts w:ascii="Times New Roman" w:hAnsi="Times New Roman"/>
          <w:i/>
          <w:iCs/>
          <w:sz w:val="28"/>
          <w:szCs w:val="28"/>
        </w:rPr>
        <w:t xml:space="preserve"> при дифференцированном раке щитовидной железы</w:t>
      </w:r>
    </w:p>
    <w:p w14:paraId="3ADABA0D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lastRenderedPageBreak/>
        <w:t xml:space="preserve">При применении препарата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у пациентов с дифференцированным раком щитовидной железы рекомендуется контролировать уровень кальция в крови. </w:t>
      </w:r>
    </w:p>
    <w:p w14:paraId="74205AAA" w14:textId="77777777" w:rsidR="00471492" w:rsidRPr="00471492" w:rsidRDefault="00567FD0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74645702"/>
      <w:r>
        <w:rPr>
          <w:rFonts w:ascii="Times New Roman" w:hAnsi="Times New Roman"/>
          <w:sz w:val="28"/>
          <w:szCs w:val="28"/>
          <w:lang w:val="kk-KZ"/>
        </w:rPr>
        <w:t>Необходимо исключить тяж</w:t>
      </w:r>
      <w:proofErr w:type="spellStart"/>
      <w:r>
        <w:rPr>
          <w:rFonts w:ascii="Times New Roman" w:hAnsi="Times New Roman"/>
          <w:sz w:val="28"/>
          <w:szCs w:val="28"/>
        </w:rPr>
        <w:t>ёлую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гипокальциемию</w:t>
      </w:r>
      <w:proofErr w:type="spellEnd"/>
      <w:r w:rsidR="00471492" w:rsidRPr="00471492">
        <w:rPr>
          <w:rFonts w:ascii="Times New Roman" w:hAnsi="Times New Roman"/>
          <w:sz w:val="28"/>
          <w:szCs w:val="28"/>
        </w:rPr>
        <w:t xml:space="preserve"> для предотвращения таких осложнений как удлинение интервала QT или желудочковой аритмии (см. пункт «Удлинение интервала QT»)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14:paraId="184312B6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Супрессия тиреотропного гормона при дифференцированном раке щитовидной железы</w:t>
      </w:r>
    </w:p>
    <w:p w14:paraId="603199C5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При применении препарата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у пациентов </w:t>
      </w:r>
      <w:r w:rsidR="00567FD0">
        <w:rPr>
          <w:rFonts w:ascii="Times New Roman" w:hAnsi="Times New Roman"/>
          <w:sz w:val="28"/>
          <w:szCs w:val="28"/>
        </w:rPr>
        <w:t xml:space="preserve">с повышенным </w:t>
      </w:r>
      <w:proofErr w:type="gramStart"/>
      <w:r w:rsidR="00567FD0">
        <w:rPr>
          <w:rFonts w:ascii="Times New Roman" w:hAnsi="Times New Roman"/>
          <w:sz w:val="28"/>
          <w:szCs w:val="28"/>
        </w:rPr>
        <w:t xml:space="preserve">ТТГ </w:t>
      </w:r>
      <w:r w:rsidR="00567FD0" w:rsidRPr="00567FD0">
        <w:rPr>
          <w:rFonts w:ascii="Times New Roman" w:hAnsi="Times New Roman"/>
          <w:sz w:val="28"/>
          <w:szCs w:val="28"/>
        </w:rPr>
        <w:t>&gt;</w:t>
      </w:r>
      <w:proofErr w:type="gramEnd"/>
      <w:r w:rsidR="00567FD0" w:rsidRPr="00567FD0">
        <w:rPr>
          <w:rFonts w:ascii="Times New Roman" w:hAnsi="Times New Roman"/>
          <w:sz w:val="28"/>
          <w:szCs w:val="28"/>
        </w:rPr>
        <w:t xml:space="preserve"> </w:t>
      </w:r>
      <w:r w:rsidR="00567FD0">
        <w:rPr>
          <w:rFonts w:ascii="Times New Roman" w:hAnsi="Times New Roman"/>
          <w:sz w:val="28"/>
          <w:szCs w:val="28"/>
          <w:lang w:val="kk-KZ"/>
        </w:rPr>
        <w:t xml:space="preserve">0,5мЕд/л </w:t>
      </w:r>
      <w:r w:rsidRPr="00471492">
        <w:rPr>
          <w:rFonts w:ascii="Times New Roman" w:hAnsi="Times New Roman"/>
          <w:sz w:val="28"/>
          <w:szCs w:val="28"/>
        </w:rPr>
        <w:t xml:space="preserve">следует контролировать </w:t>
      </w:r>
      <w:r w:rsidR="00567FD0">
        <w:rPr>
          <w:rFonts w:ascii="Times New Roman" w:hAnsi="Times New Roman"/>
          <w:sz w:val="28"/>
          <w:szCs w:val="28"/>
          <w:lang w:val="kk-KZ"/>
        </w:rPr>
        <w:t xml:space="preserve">его </w:t>
      </w:r>
      <w:r w:rsidRPr="00471492">
        <w:rPr>
          <w:rFonts w:ascii="Times New Roman" w:hAnsi="Times New Roman"/>
          <w:sz w:val="28"/>
          <w:szCs w:val="28"/>
        </w:rPr>
        <w:t>уровень.</w:t>
      </w:r>
    </w:p>
    <w:p w14:paraId="69E5099C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1492">
        <w:rPr>
          <w:rFonts w:ascii="Times New Roman" w:hAnsi="Times New Roman"/>
          <w:i/>
          <w:sz w:val="28"/>
          <w:szCs w:val="28"/>
        </w:rPr>
        <w:t>Почечно-клеточный рак</w:t>
      </w:r>
    </w:p>
    <w:p w14:paraId="12AE86DB" w14:textId="77777777" w:rsidR="00471492" w:rsidRPr="00471492" w:rsidRDefault="00567FD0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="00471492" w:rsidRPr="00471492">
        <w:rPr>
          <w:rFonts w:ascii="Times New Roman" w:hAnsi="Times New Roman"/>
          <w:sz w:val="28"/>
          <w:szCs w:val="28"/>
        </w:rPr>
        <w:t>ценка</w:t>
      </w:r>
      <w:proofErr w:type="spellEnd"/>
      <w:r w:rsidR="00471492" w:rsidRPr="00471492">
        <w:rPr>
          <w:rFonts w:ascii="Times New Roman" w:hAnsi="Times New Roman"/>
          <w:sz w:val="28"/>
          <w:szCs w:val="28"/>
        </w:rPr>
        <w:t xml:space="preserve"> соотношения польза/риск у </w:t>
      </w:r>
      <w:r>
        <w:rPr>
          <w:rFonts w:ascii="Times New Roman" w:hAnsi="Times New Roman"/>
          <w:sz w:val="28"/>
          <w:szCs w:val="28"/>
          <w:lang w:val="kk-KZ"/>
        </w:rPr>
        <w:t>данных</w:t>
      </w:r>
      <w:r w:rsidR="00471492" w:rsidRPr="00471492">
        <w:rPr>
          <w:rFonts w:ascii="Times New Roman" w:hAnsi="Times New Roman"/>
          <w:sz w:val="28"/>
          <w:szCs w:val="28"/>
        </w:rPr>
        <w:t xml:space="preserve"> пациентов не </w:t>
      </w:r>
      <w:r>
        <w:rPr>
          <w:rFonts w:ascii="Times New Roman" w:hAnsi="Times New Roman"/>
          <w:sz w:val="28"/>
          <w:szCs w:val="28"/>
          <w:lang w:val="kk-KZ"/>
        </w:rPr>
        <w:t>проводилась</w:t>
      </w:r>
      <w:r w:rsidR="00471492" w:rsidRPr="00471492">
        <w:rPr>
          <w:rFonts w:ascii="Times New Roman" w:hAnsi="Times New Roman"/>
          <w:sz w:val="28"/>
          <w:szCs w:val="28"/>
        </w:rPr>
        <w:t>.</w:t>
      </w:r>
    </w:p>
    <w:p w14:paraId="4C784996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1492">
        <w:rPr>
          <w:rFonts w:ascii="Times New Roman" w:hAnsi="Times New Roman"/>
          <w:i/>
          <w:iCs/>
          <w:sz w:val="28"/>
          <w:szCs w:val="28"/>
        </w:rPr>
        <w:t>Информация о вспомогательных веществах</w:t>
      </w:r>
    </w:p>
    <w:p w14:paraId="3DABEB04" w14:textId="77777777" w:rsidR="00471492" w:rsidRPr="00471492" w:rsidRDefault="00471492" w:rsidP="00471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492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471492">
        <w:rPr>
          <w:rFonts w:ascii="Times New Roman" w:hAnsi="Times New Roman"/>
          <w:sz w:val="28"/>
          <w:szCs w:val="28"/>
        </w:rPr>
        <w:t>Ливониб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содержит 82,5 мг натрия </w:t>
      </w:r>
      <w:proofErr w:type="spellStart"/>
      <w:r w:rsidRPr="00471492">
        <w:rPr>
          <w:rFonts w:ascii="Times New Roman" w:hAnsi="Times New Roman"/>
          <w:sz w:val="28"/>
          <w:szCs w:val="28"/>
        </w:rPr>
        <w:t>кроскармеллозы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и натрия </w:t>
      </w:r>
      <w:proofErr w:type="spellStart"/>
      <w:r w:rsidRPr="00471492">
        <w:rPr>
          <w:rFonts w:ascii="Times New Roman" w:hAnsi="Times New Roman"/>
          <w:sz w:val="28"/>
          <w:szCs w:val="28"/>
        </w:rPr>
        <w:t>лаурилсульфата</w:t>
      </w:r>
      <w:proofErr w:type="spellEnd"/>
      <w:r w:rsidRPr="00471492">
        <w:rPr>
          <w:rFonts w:ascii="Times New Roman" w:hAnsi="Times New Roman"/>
          <w:sz w:val="28"/>
          <w:szCs w:val="28"/>
        </w:rPr>
        <w:t xml:space="preserve"> на 1 таблетку.  Исходя из этого количества, можно считать, что препарат «свободен от натрия».</w:t>
      </w:r>
    </w:p>
    <w:p w14:paraId="0763C509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198A8FD0" w14:textId="77777777" w:rsidR="00F5460E" w:rsidRPr="00F5460E" w:rsidRDefault="00F5460E" w:rsidP="00F5460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460E">
        <w:rPr>
          <w:rFonts w:ascii="Times New Roman" w:hAnsi="Times New Roman"/>
          <w:iCs/>
          <w:sz w:val="28"/>
          <w:szCs w:val="28"/>
        </w:rPr>
        <w:t xml:space="preserve">Данных о применении </w:t>
      </w:r>
      <w:proofErr w:type="spellStart"/>
      <w:r w:rsidRPr="00F5460E">
        <w:rPr>
          <w:rFonts w:ascii="Times New Roman" w:hAnsi="Times New Roman"/>
          <w:iCs/>
          <w:sz w:val="28"/>
          <w:szCs w:val="28"/>
        </w:rPr>
        <w:t>сорафениба</w:t>
      </w:r>
      <w:proofErr w:type="spellEnd"/>
      <w:r w:rsidRPr="00F5460E">
        <w:rPr>
          <w:rFonts w:ascii="Times New Roman" w:hAnsi="Times New Roman"/>
          <w:iCs/>
          <w:sz w:val="28"/>
          <w:szCs w:val="28"/>
        </w:rPr>
        <w:t xml:space="preserve"> у беременных женщин нет. </w:t>
      </w:r>
      <w:proofErr w:type="spellStart"/>
      <w:r w:rsidRPr="00F5460E">
        <w:rPr>
          <w:rFonts w:ascii="Times New Roman" w:hAnsi="Times New Roman"/>
          <w:iCs/>
          <w:sz w:val="28"/>
          <w:szCs w:val="28"/>
        </w:rPr>
        <w:t>Сорафениб</w:t>
      </w:r>
      <w:proofErr w:type="spellEnd"/>
      <w:r w:rsidRPr="00F5460E">
        <w:rPr>
          <w:rFonts w:ascii="Times New Roman" w:hAnsi="Times New Roman"/>
          <w:iCs/>
          <w:sz w:val="28"/>
          <w:szCs w:val="28"/>
        </w:rPr>
        <w:t xml:space="preserve"> не следует применять во время беременности без острой необходимости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и только</w:t>
      </w:r>
      <w:r w:rsidRPr="00F5460E">
        <w:rPr>
          <w:rFonts w:ascii="Times New Roman" w:hAnsi="Times New Roman"/>
          <w:iCs/>
          <w:sz w:val="28"/>
          <w:szCs w:val="28"/>
        </w:rPr>
        <w:t xml:space="preserve"> после тщательной оценки пользы для матери и рисков для плода.</w:t>
      </w:r>
    </w:p>
    <w:p w14:paraId="73BBD21C" w14:textId="77777777" w:rsidR="00F5460E" w:rsidRDefault="00F5460E" w:rsidP="00F5460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460E">
        <w:rPr>
          <w:rFonts w:ascii="Times New Roman" w:hAnsi="Times New Roman"/>
          <w:iCs/>
          <w:sz w:val="28"/>
          <w:szCs w:val="28"/>
        </w:rPr>
        <w:t>Женщины с детородным потенциалом должны использовать эффективные средства контрацепции во время лечения.</w:t>
      </w:r>
    </w:p>
    <w:p w14:paraId="07787B2E" w14:textId="77777777" w:rsidR="00F5460E" w:rsidRPr="00F5460E" w:rsidRDefault="00F5460E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5460E">
        <w:rPr>
          <w:rFonts w:ascii="Times New Roman" w:hAnsi="Times New Roman"/>
          <w:iCs/>
          <w:sz w:val="28"/>
          <w:szCs w:val="28"/>
        </w:rPr>
        <w:t xml:space="preserve">Неизвестно, выделяется ли </w:t>
      </w:r>
      <w:proofErr w:type="spellStart"/>
      <w:r w:rsidRPr="00F5460E">
        <w:rPr>
          <w:rFonts w:ascii="Times New Roman" w:hAnsi="Times New Roman"/>
          <w:iCs/>
          <w:sz w:val="28"/>
          <w:szCs w:val="28"/>
        </w:rPr>
        <w:t>сорафениб</w:t>
      </w:r>
      <w:proofErr w:type="spellEnd"/>
      <w:r w:rsidRPr="00F5460E">
        <w:rPr>
          <w:rFonts w:ascii="Times New Roman" w:hAnsi="Times New Roman"/>
          <w:iCs/>
          <w:sz w:val="28"/>
          <w:szCs w:val="28"/>
        </w:rPr>
        <w:t xml:space="preserve"> с грудным молоком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F5460E">
        <w:rPr>
          <w:rFonts w:ascii="Times New Roman" w:hAnsi="Times New Roman"/>
          <w:iCs/>
          <w:sz w:val="28"/>
          <w:szCs w:val="28"/>
        </w:rPr>
        <w:t xml:space="preserve">Поскольку </w:t>
      </w:r>
      <w:proofErr w:type="spellStart"/>
      <w:r w:rsidRPr="00F5460E">
        <w:rPr>
          <w:rFonts w:ascii="Times New Roman" w:hAnsi="Times New Roman"/>
          <w:iCs/>
          <w:sz w:val="28"/>
          <w:szCs w:val="28"/>
        </w:rPr>
        <w:t>сорафениб</w:t>
      </w:r>
      <w:proofErr w:type="spellEnd"/>
      <w:r w:rsidRPr="00F5460E">
        <w:rPr>
          <w:rFonts w:ascii="Times New Roman" w:hAnsi="Times New Roman"/>
          <w:iCs/>
          <w:sz w:val="28"/>
          <w:szCs w:val="28"/>
        </w:rPr>
        <w:t xml:space="preserve"> может повлиять на рост и развитие ребенка, женщинам следует отказаться от грудного вскармливания в период терапии препаратом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Ливониб</w:t>
      </w:r>
      <w:proofErr w:type="spellEnd"/>
      <w:r w:rsidRPr="00F5460E">
        <w:rPr>
          <w:rFonts w:ascii="Times New Roman" w:hAnsi="Times New Roman"/>
          <w:iCs/>
          <w:sz w:val="28"/>
          <w:szCs w:val="28"/>
        </w:rPr>
        <w:t xml:space="preserve">. </w:t>
      </w:r>
    </w:p>
    <w:p w14:paraId="341A42B1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6E7D55DE" w14:textId="77777777" w:rsidR="00DA4BFC" w:rsidRPr="00DA4BFC" w:rsidRDefault="00DA4BFC" w:rsidP="00DA4B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4B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Исследований по влиянию на способность управлять автотранспортом не проводилось. Нет доказательств по воздействию </w:t>
      </w:r>
      <w:proofErr w:type="spellStart"/>
      <w:r w:rsidRPr="00DA4BFC">
        <w:rPr>
          <w:rFonts w:ascii="Times New Roman" w:eastAsia="Times New Roman" w:hAnsi="Times New Roman"/>
          <w:bCs/>
          <w:sz w:val="28"/>
          <w:szCs w:val="28"/>
          <w:lang w:eastAsia="ru-RU"/>
        </w:rPr>
        <w:t>сорафениба</w:t>
      </w:r>
      <w:proofErr w:type="spellEnd"/>
      <w:r w:rsidRPr="00DA4B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способность управлять автомобилем или потенциально опасными механизмами.</w:t>
      </w:r>
    </w:p>
    <w:p w14:paraId="5954101F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FB5373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2CBD229E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3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EE5D7F2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2175220275"/>
      <w:bookmarkEnd w:id="3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назначаться врачами, имеющими опыт назначения противоопухолевой терапии.</w:t>
      </w:r>
    </w:p>
    <w:p w14:paraId="029A42DF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суточная доза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800 мг. Суточная доза назначается в два приема (по 2 таблетки 2 раза в сутки). </w:t>
      </w:r>
    </w:p>
    <w:p w14:paraId="73042479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Лечение продолжают до тех пор, пока сохраняется клиническая эффективность препарата или до появления его неприемлемого токсического действия.  </w:t>
      </w:r>
    </w:p>
    <w:p w14:paraId="00F83065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Коррекция дозы</w:t>
      </w:r>
    </w:p>
    <w:p w14:paraId="4C65559A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Развитие возможных нежелательных реакций может потребовать временного прекращения приема и/или уменьшения дозы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91D6A7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требуется снижение дозы во время лечения гепатоцеллюлярной карциномы (ГЦК) и прогрессирующей почечно-клеточной карциномы (РЦК), дозу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снизить до 400 мг в день (2 таблетки 1 раз в день).</w:t>
      </w:r>
    </w:p>
    <w:p w14:paraId="03E4A495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требуется снижение дозы во время лечения дифференцированной карциномы щитовидной железы, дозу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уменьшить до 600 мг в день, разделив прием на 2 части (принять 2 таблетки по 200 мг и через 12 часов принять дополнительно еще одну таблетку 200 мг).</w:t>
      </w:r>
    </w:p>
    <w:p w14:paraId="758A886C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требуется дополнительное снижение дозы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, можно ее снизить до 400 мг в день, разделив на 2 приема (по 1 таблетке 2 раза в день с интервалом между приемами в 12 часов), при необходимости, можно дополнительно снизить до 1 таблетки (200 мг) в день. После уменьшения выраженности нежелательных реакций, за исключением гематологических, дозу препарата </w:t>
      </w:r>
      <w:proofErr w:type="spellStart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>Ливониб</w:t>
      </w:r>
      <w:proofErr w:type="spellEnd"/>
      <w:r w:rsidRPr="00CF7FD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увеличить.</w:t>
      </w:r>
    </w:p>
    <w:p w14:paraId="5EA07C16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F7FD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4DC544B6" w14:textId="77777777" w:rsidR="00CF7FDE" w:rsidRPr="00CF7FDE" w:rsidRDefault="00CF7FDE" w:rsidP="00CF7FDE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8"/>
          <w:szCs w:val="28"/>
        </w:rPr>
      </w:pPr>
      <w:bookmarkStart w:id="5" w:name="bookmark18"/>
      <w:r w:rsidRPr="00CF7FDE">
        <w:rPr>
          <w:rFonts w:ascii="Times New Roman" w:hAnsi="Times New Roman"/>
          <w:i/>
          <w:sz w:val="28"/>
          <w:szCs w:val="28"/>
        </w:rPr>
        <w:t>Дети</w:t>
      </w:r>
    </w:p>
    <w:p w14:paraId="23E9E976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FDE">
        <w:rPr>
          <w:rFonts w:ascii="Times New Roman" w:hAnsi="Times New Roman"/>
          <w:sz w:val="28"/>
          <w:szCs w:val="28"/>
        </w:rPr>
        <w:t xml:space="preserve">Эффективность и безопасность у детей и подростков младше 18 лет не установлена. Доступные данные отсутствуют. </w:t>
      </w:r>
    </w:p>
    <w:p w14:paraId="5FAE2A8F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r w:rsidRPr="00CF7FDE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Пациенты пожилого возраста</w:t>
      </w:r>
    </w:p>
    <w:p w14:paraId="37A38FDC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</w:rPr>
      </w:pPr>
      <w:bookmarkStart w:id="6" w:name="bookmark19"/>
      <w:bookmarkEnd w:id="5"/>
      <w:r w:rsidRPr="00CF7FDE">
        <w:rPr>
          <w:rFonts w:ascii="Times New Roman" w:hAnsi="Times New Roman"/>
          <w:sz w:val="28"/>
          <w:szCs w:val="28"/>
        </w:rPr>
        <w:t xml:space="preserve">Коррекция дозы препарата в зависимости от возраста (старше 65 лет) не требуется. </w:t>
      </w:r>
      <w:bookmarkEnd w:id="6"/>
    </w:p>
    <w:p w14:paraId="18D2B195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bookmarkStart w:id="7" w:name="bookmark20"/>
      <w:r w:rsidRPr="00CF7FDE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Пациенты с почечной недостаточностью</w:t>
      </w:r>
      <w:bookmarkEnd w:id="7"/>
    </w:p>
    <w:p w14:paraId="65F35F9E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FDE">
        <w:rPr>
          <w:rFonts w:ascii="Times New Roman" w:hAnsi="Times New Roman"/>
          <w:sz w:val="28"/>
          <w:szCs w:val="28"/>
        </w:rPr>
        <w:t xml:space="preserve">При легких, средних или тяжелых нарушениях функции почек коррекция дозы препарата </w:t>
      </w:r>
      <w:proofErr w:type="spellStart"/>
      <w:r w:rsidRPr="00CF7FDE">
        <w:rPr>
          <w:rFonts w:ascii="Times New Roman" w:hAnsi="Times New Roman"/>
          <w:sz w:val="28"/>
          <w:szCs w:val="28"/>
        </w:rPr>
        <w:t>Ливониб</w:t>
      </w:r>
      <w:proofErr w:type="spellEnd"/>
      <w:r w:rsidRPr="00CF7FDE">
        <w:rPr>
          <w:rFonts w:ascii="Times New Roman" w:hAnsi="Times New Roman"/>
          <w:sz w:val="28"/>
          <w:szCs w:val="28"/>
        </w:rPr>
        <w:t xml:space="preserve"> не требуется. </w:t>
      </w:r>
    </w:p>
    <w:p w14:paraId="44A81CF8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FDE">
        <w:rPr>
          <w:rFonts w:ascii="Times New Roman" w:hAnsi="Times New Roman"/>
          <w:sz w:val="28"/>
          <w:szCs w:val="28"/>
        </w:rPr>
        <w:t>Данные о пациентах, нуждающихся в диализе, отсутствуют.</w:t>
      </w:r>
    </w:p>
    <w:p w14:paraId="006C3781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FDE">
        <w:rPr>
          <w:rFonts w:ascii="Times New Roman" w:hAnsi="Times New Roman"/>
          <w:sz w:val="28"/>
          <w:szCs w:val="28"/>
        </w:rPr>
        <w:t>Рекомендовано проводить регулярный контроль водно-электролитного баланса у пациентов с риском развития почечной дисфункции.</w:t>
      </w:r>
    </w:p>
    <w:p w14:paraId="529A086F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r w:rsidRPr="00CF7FDE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Пациенты с печеночной недостаточностью</w:t>
      </w:r>
    </w:p>
    <w:p w14:paraId="7A42697B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FDE">
        <w:rPr>
          <w:rFonts w:ascii="Times New Roman" w:hAnsi="Times New Roman"/>
          <w:sz w:val="28"/>
          <w:szCs w:val="28"/>
        </w:rPr>
        <w:t xml:space="preserve">Пациентам с печеночной недостаточностью класса А и В (от легкой до умеренной степени) по шкале Чайлда-Пью коррекции дозы не требуется. Прием </w:t>
      </w:r>
      <w:proofErr w:type="spellStart"/>
      <w:r w:rsidRPr="00CF7FDE">
        <w:rPr>
          <w:rFonts w:ascii="Times New Roman" w:hAnsi="Times New Roman"/>
          <w:sz w:val="28"/>
          <w:szCs w:val="28"/>
        </w:rPr>
        <w:t>сорафениба</w:t>
      </w:r>
      <w:proofErr w:type="spellEnd"/>
      <w:r w:rsidRPr="00CF7FDE">
        <w:rPr>
          <w:rFonts w:ascii="Times New Roman" w:hAnsi="Times New Roman"/>
          <w:sz w:val="28"/>
          <w:szCs w:val="28"/>
        </w:rPr>
        <w:t xml:space="preserve"> у пациентов с нарушением функции печени класса С по шкале Чайлда-Пью не изучено.</w:t>
      </w:r>
    </w:p>
    <w:p w14:paraId="60D59336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7C7D5E72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8" w:name="2175220276"/>
      <w:bookmarkEnd w:id="4"/>
      <w:r w:rsidRPr="00CF7FDE">
        <w:rPr>
          <w:rFonts w:ascii="Times New Roman" w:hAnsi="Times New Roman"/>
          <w:color w:val="000000"/>
          <w:sz w:val="28"/>
          <w:szCs w:val="24"/>
        </w:rPr>
        <w:t>Перорально.</w:t>
      </w:r>
    </w:p>
    <w:p w14:paraId="709D47D4" w14:textId="77777777" w:rsidR="00CF7FDE" w:rsidRPr="00CF7FDE" w:rsidRDefault="00CF7FDE" w:rsidP="00CF7F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CF7FDE">
        <w:rPr>
          <w:rFonts w:ascii="Times New Roman" w:hAnsi="Times New Roman"/>
          <w:color w:val="000000"/>
          <w:sz w:val="28"/>
          <w:szCs w:val="24"/>
        </w:rPr>
        <w:t xml:space="preserve">Препарат следует принимать натощак или вместе с пищей с низким или умеренным содержанием жиров, либо минимум за 1 час до или через 2 часа после еды. </w:t>
      </w:r>
    </w:p>
    <w:p w14:paraId="5CD97923" w14:textId="77777777" w:rsidR="00A01C2E" w:rsidRPr="007E1FBB" w:rsidRDefault="00CF7FDE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CF7FDE">
        <w:rPr>
          <w:rFonts w:ascii="Times New Roman" w:hAnsi="Times New Roman"/>
          <w:color w:val="000000"/>
          <w:sz w:val="28"/>
          <w:szCs w:val="24"/>
          <w:lang w:bidi="ru-RU"/>
        </w:rPr>
        <w:t>Таблетки следует запивать стаканом воды.</w:t>
      </w:r>
      <w:bookmarkStart w:id="9" w:name="2175220277"/>
      <w:bookmarkEnd w:id="8"/>
      <w:r w:rsidR="0016278D" w:rsidRPr="00844CE8">
        <w:rPr>
          <w:rFonts w:ascii="Times New Roman" w:hAnsi="Times New Roman"/>
          <w:color w:val="000000"/>
          <w:sz w:val="24"/>
        </w:rPr>
        <w:t xml:space="preserve"> </w:t>
      </w:r>
      <w:bookmarkStart w:id="10" w:name="2175220278"/>
      <w:bookmarkEnd w:id="9"/>
    </w:p>
    <w:p w14:paraId="1E092DED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61339A63" w14:textId="77777777" w:rsidR="007E1FBB" w:rsidRPr="007E1FBB" w:rsidRDefault="007E1FBB" w:rsidP="007E1F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_Hlk38289463"/>
      <w:bookmarkStart w:id="12" w:name="2175220280"/>
      <w:bookmarkEnd w:id="10"/>
      <w:r w:rsidRPr="007E1FBB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Специфического антидота при передозировке </w:t>
      </w:r>
      <w:proofErr w:type="spellStart"/>
      <w:r w:rsidRPr="007E1FBB">
        <w:rPr>
          <w:rFonts w:ascii="Times New Roman" w:hAnsi="Times New Roman"/>
          <w:color w:val="000000"/>
          <w:sz w:val="28"/>
          <w:szCs w:val="28"/>
        </w:rPr>
        <w:t>сорафенибом</w:t>
      </w:r>
      <w:proofErr w:type="spellEnd"/>
      <w:r w:rsidRPr="007E1FBB">
        <w:rPr>
          <w:rFonts w:ascii="Times New Roman" w:hAnsi="Times New Roman"/>
          <w:color w:val="000000"/>
          <w:sz w:val="28"/>
          <w:szCs w:val="28"/>
        </w:rPr>
        <w:t xml:space="preserve"> не существует. Самая максимальная, клинически изученная доза </w:t>
      </w:r>
      <w:proofErr w:type="spellStart"/>
      <w:r w:rsidRPr="007E1FBB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7E1FBB">
        <w:rPr>
          <w:rFonts w:ascii="Times New Roman" w:hAnsi="Times New Roman"/>
          <w:color w:val="000000"/>
          <w:sz w:val="28"/>
          <w:szCs w:val="28"/>
        </w:rPr>
        <w:t xml:space="preserve"> составляет 800 мг два раза в день. Побочные явления, наблюдаемые при применении этой дозировки, сопровождались в основном диареей и дерматологическими событиями. В случае подозрения на передозировку, прием </w:t>
      </w:r>
      <w:proofErr w:type="spellStart"/>
      <w:r w:rsidRPr="007E1FBB">
        <w:rPr>
          <w:rFonts w:ascii="Times New Roman" w:hAnsi="Times New Roman"/>
          <w:color w:val="000000"/>
          <w:sz w:val="28"/>
          <w:szCs w:val="28"/>
        </w:rPr>
        <w:t>сорафениба</w:t>
      </w:r>
      <w:proofErr w:type="spellEnd"/>
      <w:r w:rsidRPr="007E1FBB">
        <w:rPr>
          <w:rFonts w:ascii="Times New Roman" w:hAnsi="Times New Roman"/>
          <w:color w:val="000000"/>
          <w:sz w:val="28"/>
          <w:szCs w:val="28"/>
        </w:rPr>
        <w:t xml:space="preserve"> следует прекратить 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E1FBB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E1FBB">
        <w:rPr>
          <w:rFonts w:ascii="Times New Roman" w:hAnsi="Times New Roman"/>
          <w:color w:val="000000"/>
          <w:sz w:val="28"/>
          <w:szCs w:val="28"/>
        </w:rPr>
        <w:t xml:space="preserve"> назначить поддерживающую терапию</w:t>
      </w:r>
      <w:bookmarkEnd w:id="11"/>
      <w:r w:rsidRPr="007E1FBB">
        <w:rPr>
          <w:rFonts w:ascii="Times New Roman" w:hAnsi="Times New Roman"/>
          <w:color w:val="000000"/>
          <w:sz w:val="28"/>
          <w:szCs w:val="28"/>
        </w:rPr>
        <w:t>.</w:t>
      </w:r>
    </w:p>
    <w:p w14:paraId="13B6B823" w14:textId="77777777" w:rsidR="005C4B12" w:rsidRPr="00844CE8" w:rsidRDefault="005C4B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7E1FBB">
        <w:rPr>
          <w:rFonts w:ascii="Times New Roman" w:hAnsi="Times New Roman"/>
          <w:b/>
          <w:i/>
          <w:color w:val="000000"/>
          <w:sz w:val="28"/>
          <w:szCs w:val="28"/>
        </w:rPr>
        <w:t>уется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7E1FBB">
        <w:rPr>
          <w:rFonts w:ascii="Times New Roman" w:hAnsi="Times New Roman"/>
          <w:b/>
          <w:i/>
          <w:color w:val="000000"/>
          <w:sz w:val="28"/>
          <w:szCs w:val="28"/>
        </w:rPr>
        <w:t>обратиться</w:t>
      </w:r>
      <w:r w:rsidRPr="00844CE8">
        <w:rPr>
          <w:rFonts w:ascii="Times New Roman" w:hAnsi="Times New Roman"/>
          <w:b/>
          <w:i/>
          <w:color w:val="000000"/>
          <w:sz w:val="28"/>
          <w:szCs w:val="28"/>
        </w:rPr>
        <w:t xml:space="preserve"> за консультацией к медицинскому работнику для разъяснения способа применения лекарственного препарата</w:t>
      </w:r>
      <w:r w:rsidR="007E1FBB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12"/>
    <w:p w14:paraId="63C2C6F8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57F109" w14:textId="77777777" w:rsidR="001937AD" w:rsidRDefault="001937A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3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p w14:paraId="42C6B10C" w14:textId="77777777" w:rsidR="00954059" w:rsidRPr="00954059" w:rsidRDefault="00954059" w:rsidP="0095405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4059">
        <w:rPr>
          <w:rFonts w:ascii="Times New Roman" w:hAnsi="Times New Roman"/>
          <w:bCs/>
          <w:color w:val="000000"/>
          <w:sz w:val="28"/>
          <w:szCs w:val="28"/>
        </w:rPr>
        <w:t xml:space="preserve">Наиболее серьезные побочные действия </w:t>
      </w:r>
      <w:proofErr w:type="spellStart"/>
      <w:r w:rsidRPr="00954059">
        <w:rPr>
          <w:rFonts w:ascii="Times New Roman" w:hAnsi="Times New Roman"/>
          <w:bCs/>
          <w:color w:val="000000"/>
          <w:sz w:val="28"/>
          <w:szCs w:val="28"/>
        </w:rPr>
        <w:t>сорафениба</w:t>
      </w:r>
      <w:proofErr w:type="spellEnd"/>
      <w:r w:rsidRPr="00954059">
        <w:rPr>
          <w:rFonts w:ascii="Times New Roman" w:hAnsi="Times New Roman"/>
          <w:bCs/>
          <w:color w:val="000000"/>
          <w:sz w:val="28"/>
          <w:szCs w:val="28"/>
        </w:rPr>
        <w:t xml:space="preserve"> включают инфаркт миокарда/ишемию, перфорацию желудочно-кишечного тракта, лекарственный гепатит, кровотечения и гипертонический криз.</w:t>
      </w:r>
    </w:p>
    <w:p w14:paraId="5B82FDD6" w14:textId="77777777" w:rsidR="00954059" w:rsidRPr="00954059" w:rsidRDefault="00954059" w:rsidP="0095405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4059">
        <w:rPr>
          <w:rFonts w:ascii="Times New Roman" w:hAnsi="Times New Roman"/>
          <w:bCs/>
          <w:color w:val="000000"/>
          <w:sz w:val="28"/>
          <w:szCs w:val="28"/>
        </w:rPr>
        <w:t xml:space="preserve">Наиболее частые побочные действия </w:t>
      </w:r>
      <w:proofErr w:type="spellStart"/>
      <w:r w:rsidRPr="00954059">
        <w:rPr>
          <w:rFonts w:ascii="Times New Roman" w:hAnsi="Times New Roman"/>
          <w:bCs/>
          <w:color w:val="000000"/>
          <w:sz w:val="28"/>
          <w:szCs w:val="28"/>
        </w:rPr>
        <w:t>сорафениба</w:t>
      </w:r>
      <w:proofErr w:type="spellEnd"/>
      <w:r w:rsidRPr="00954059">
        <w:rPr>
          <w:rFonts w:ascii="Times New Roman" w:hAnsi="Times New Roman"/>
          <w:bCs/>
          <w:color w:val="000000"/>
          <w:sz w:val="28"/>
          <w:szCs w:val="28"/>
        </w:rPr>
        <w:t xml:space="preserve"> включают диарею, утомляемость, алопецию, инфекции и ладонно-подошвенную кожную реакцию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954059">
        <w:rPr>
          <w:rFonts w:ascii="Times New Roman" w:hAnsi="Times New Roman"/>
          <w:bCs/>
          <w:color w:val="000000"/>
          <w:sz w:val="28"/>
          <w:szCs w:val="28"/>
        </w:rPr>
        <w:t>сыпь.</w:t>
      </w:r>
    </w:p>
    <w:p w14:paraId="4B50EAD6" w14:textId="77777777" w:rsidR="00954059" w:rsidRPr="00954059" w:rsidRDefault="00954059" w:rsidP="0095405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4059">
        <w:rPr>
          <w:rFonts w:ascii="Times New Roman" w:hAnsi="Times New Roman"/>
          <w:bCs/>
          <w:color w:val="000000"/>
          <w:sz w:val="28"/>
          <w:szCs w:val="28"/>
        </w:rPr>
        <w:t>Побочные реакции, отмеченные в многочисленных клинических исследованиях или при пострегистрационном применении, перечислены ниже</w:t>
      </w:r>
      <w:r w:rsidR="00ED550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A4DE363" w14:textId="77777777" w:rsidR="008A10A3" w:rsidRPr="008A10A3" w:rsidRDefault="008A10A3" w:rsidP="00844CE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10A3">
        <w:rPr>
          <w:rFonts w:ascii="Times New Roman" w:hAnsi="Times New Roman"/>
          <w:bCs/>
          <w:i/>
          <w:color w:val="000000"/>
          <w:sz w:val="28"/>
          <w:szCs w:val="28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8A10A3">
        <w:rPr>
          <w:rFonts w:ascii="Times New Roman" w:hAnsi="Times New Roman"/>
          <w:bCs/>
          <w:i/>
          <w:color w:val="000000"/>
          <w:sz w:val="28"/>
          <w:szCs w:val="28"/>
        </w:rPr>
        <w:t>&lt; 1</w:t>
      </w:r>
      <w:proofErr w:type="gramEnd"/>
      <w:r w:rsidRPr="008A10A3">
        <w:rPr>
          <w:rFonts w:ascii="Times New Roman" w:hAnsi="Times New Roman"/>
          <w:bCs/>
          <w:i/>
          <w:color w:val="000000"/>
          <w:sz w:val="28"/>
          <w:szCs w:val="28"/>
        </w:rPr>
        <w:t>/10), нечасто (≥ от 1/1000 до &lt; 1/100), редко (≥ 1/10000 до  &lt; 1/1000), очень редко (&lt; 1/10000), неизвестно (невозможно оценить на основании имеющихся данных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.</w:t>
      </w:r>
    </w:p>
    <w:bookmarkEnd w:id="13"/>
    <w:p w14:paraId="19195064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7B2DD6E1" w14:textId="77777777" w:rsidR="005C4B12" w:rsidRPr="00844CE8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bookmarkStart w:id="14" w:name="_Hlk38289753"/>
      <w:r w:rsidR="008A10A3" w:rsidRPr="008A10A3">
        <w:rPr>
          <w:rFonts w:ascii="Times New Roman" w:hAnsi="Times New Roman"/>
          <w:sz w:val="28"/>
          <w:szCs w:val="28"/>
        </w:rPr>
        <w:t>инфекции</w:t>
      </w:r>
      <w:bookmarkEnd w:id="14"/>
    </w:p>
    <w:p w14:paraId="28996BAD" w14:textId="77777777" w:rsidR="005C4B12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bookmarkStart w:id="15" w:name="_Hlk38289763"/>
      <w:proofErr w:type="spellStart"/>
      <w:r w:rsidR="008A10A3" w:rsidRPr="008A10A3">
        <w:rPr>
          <w:rFonts w:ascii="Times New Roman" w:hAnsi="Times New Roman"/>
          <w:sz w:val="28"/>
          <w:szCs w:val="28"/>
        </w:rPr>
        <w:t>лимфопения</w:t>
      </w:r>
      <w:bookmarkEnd w:id="15"/>
      <w:proofErr w:type="spellEnd"/>
    </w:p>
    <w:p w14:paraId="20C4A218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16" w:name="_Hlk38289775"/>
      <w:r w:rsidRPr="008A10A3">
        <w:rPr>
          <w:rFonts w:ascii="Times New Roman" w:hAnsi="Times New Roman"/>
          <w:sz w:val="24"/>
          <w:szCs w:val="24"/>
        </w:rPr>
        <w:t xml:space="preserve"> </w:t>
      </w:r>
      <w:r w:rsidRPr="008A10A3">
        <w:rPr>
          <w:rFonts w:ascii="Times New Roman" w:hAnsi="Times New Roman"/>
          <w:sz w:val="28"/>
          <w:szCs w:val="28"/>
        </w:rPr>
        <w:t>анорексия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10A3">
        <w:rPr>
          <w:rFonts w:ascii="Times New Roman" w:hAnsi="Times New Roman"/>
          <w:sz w:val="28"/>
          <w:szCs w:val="28"/>
        </w:rPr>
        <w:t>гипофосфатемия</w:t>
      </w:r>
      <w:proofErr w:type="spellEnd"/>
    </w:p>
    <w:p w14:paraId="328B28D1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7" w:name="_Hlk38289799"/>
      <w:r w:rsidRPr="008A10A3">
        <w:rPr>
          <w:rFonts w:ascii="Times New Roman" w:hAnsi="Times New Roman"/>
          <w:sz w:val="28"/>
          <w:szCs w:val="28"/>
        </w:rPr>
        <w:t>кровотечения (в т.ч. кровотечения из ЖКТ, дыхательных путей и кровоизлияние в головной мозг), артериальная гипертензия</w:t>
      </w:r>
    </w:p>
    <w:p w14:paraId="1FA9B950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8" w:name="_Hlk38289822"/>
      <w:r w:rsidRPr="008A10A3">
        <w:rPr>
          <w:rFonts w:ascii="Times New Roman" w:hAnsi="Times New Roman"/>
          <w:sz w:val="28"/>
          <w:szCs w:val="28"/>
        </w:rPr>
        <w:t>тошнота, рвота,</w:t>
      </w:r>
      <w:r w:rsidRPr="008A10A3">
        <w:rPr>
          <w:rFonts w:ascii="Times New Roman" w:hAnsi="Times New Roman"/>
          <w:sz w:val="28"/>
          <w:szCs w:val="28"/>
          <w:lang w:val="en-US"/>
        </w:rPr>
        <w:t> </w:t>
      </w:r>
      <w:r w:rsidRPr="008A10A3">
        <w:rPr>
          <w:rFonts w:ascii="Times New Roman" w:hAnsi="Times New Roman"/>
          <w:sz w:val="28"/>
          <w:szCs w:val="28"/>
        </w:rPr>
        <w:t>диарея, запор</w:t>
      </w:r>
    </w:p>
    <w:bookmarkEnd w:id="18"/>
    <w:p w14:paraId="4D36EE4E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9" w:name="_Hlk38289836"/>
      <w:r w:rsidRPr="008A10A3">
        <w:rPr>
          <w:rFonts w:ascii="Times New Roman" w:hAnsi="Times New Roman"/>
          <w:sz w:val="28"/>
          <w:szCs w:val="28"/>
        </w:rPr>
        <w:t xml:space="preserve">сухость кожи, сыпь, алопеция, ладонно-подошвенная кожная реакция, эритема, зуд </w:t>
      </w:r>
    </w:p>
    <w:p w14:paraId="4F6101AC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артралгия</w:t>
      </w:r>
    </w:p>
    <w:p w14:paraId="578A0D6F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20" w:name="_Hlk38289866"/>
      <w:r w:rsidRPr="008A10A3">
        <w:rPr>
          <w:rFonts w:ascii="Times New Roman" w:hAnsi="Times New Roman"/>
          <w:sz w:val="28"/>
          <w:szCs w:val="28"/>
        </w:rPr>
        <w:t xml:space="preserve">повышенная утомляемость, болевой синдром различной локализации (в том числе, боль в ротовой полости, боль в животе, боль в области опухоли, </w:t>
      </w:r>
    </w:p>
    <w:p w14:paraId="66322F04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0A3">
        <w:rPr>
          <w:rFonts w:ascii="Times New Roman" w:hAnsi="Times New Roman"/>
          <w:sz w:val="28"/>
          <w:szCs w:val="28"/>
        </w:rPr>
        <w:t>головные боли, боли в костях), лихорадка</w:t>
      </w:r>
    </w:p>
    <w:p w14:paraId="2E42A889" w14:textId="77777777" w:rsidR="008A10A3" w:rsidRPr="00844CE8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21" w:name="_Hlk38289883"/>
      <w:r w:rsidRPr="008A10A3">
        <w:rPr>
          <w:rFonts w:ascii="Times New Roman" w:hAnsi="Times New Roman"/>
          <w:sz w:val="28"/>
          <w:szCs w:val="28"/>
        </w:rPr>
        <w:t xml:space="preserve">снижение массы тела, повышение уровня липазы и амилазы в плазме крови </w:t>
      </w:r>
      <w:bookmarkEnd w:id="16"/>
      <w:bookmarkEnd w:id="17"/>
      <w:bookmarkEnd w:id="19"/>
      <w:bookmarkEnd w:id="20"/>
      <w:bookmarkEnd w:id="21"/>
    </w:p>
    <w:p w14:paraId="4E4861D1" w14:textId="77777777" w:rsidR="001937AD" w:rsidRPr="00844CE8" w:rsidRDefault="001937AD" w:rsidP="009540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lastRenderedPageBreak/>
        <w:t xml:space="preserve">Часто </w:t>
      </w:r>
    </w:p>
    <w:p w14:paraId="49DD64CB" w14:textId="77777777" w:rsidR="005C4B12" w:rsidRPr="00844CE8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8A10A3" w:rsidRPr="008A10A3">
        <w:rPr>
          <w:rFonts w:ascii="Times New Roman" w:hAnsi="Times New Roman"/>
          <w:sz w:val="28"/>
          <w:szCs w:val="28"/>
        </w:rPr>
        <w:t>фолликулит</w:t>
      </w:r>
    </w:p>
    <w:p w14:paraId="4D709FBB" w14:textId="77777777" w:rsidR="005C4B12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8A10A3" w:rsidRPr="008A10A3">
        <w:rPr>
          <w:rFonts w:ascii="Times New Roman" w:hAnsi="Times New Roman"/>
          <w:sz w:val="28"/>
          <w:szCs w:val="28"/>
        </w:rPr>
        <w:t xml:space="preserve">лейкопения, </w:t>
      </w:r>
      <w:proofErr w:type="spellStart"/>
      <w:r w:rsidR="008A10A3" w:rsidRPr="008A10A3">
        <w:rPr>
          <w:rFonts w:ascii="Times New Roman" w:hAnsi="Times New Roman"/>
          <w:sz w:val="28"/>
          <w:szCs w:val="28"/>
        </w:rPr>
        <w:t>нейтропения</w:t>
      </w:r>
      <w:proofErr w:type="spellEnd"/>
      <w:r w:rsidR="008A10A3" w:rsidRPr="008A10A3">
        <w:rPr>
          <w:rFonts w:ascii="Times New Roman" w:hAnsi="Times New Roman"/>
          <w:sz w:val="28"/>
          <w:szCs w:val="28"/>
        </w:rPr>
        <w:t>, анемия, тромбоцитопения</w:t>
      </w:r>
    </w:p>
    <w:p w14:paraId="74AC968E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гипотиреоз</w:t>
      </w:r>
    </w:p>
    <w:p w14:paraId="1C18CCAF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10A3">
        <w:rPr>
          <w:rFonts w:ascii="Times New Roman" w:hAnsi="Times New Roman"/>
          <w:sz w:val="28"/>
          <w:szCs w:val="28"/>
        </w:rPr>
        <w:t>гипокальцемия</w:t>
      </w:r>
      <w:proofErr w:type="spellEnd"/>
      <w:r w:rsidRPr="008A10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0A3">
        <w:rPr>
          <w:rFonts w:ascii="Times New Roman" w:hAnsi="Times New Roman"/>
          <w:sz w:val="28"/>
          <w:szCs w:val="28"/>
        </w:rPr>
        <w:t>гипокалиемия</w:t>
      </w:r>
      <w:proofErr w:type="spellEnd"/>
      <w:r w:rsidRPr="008A10A3">
        <w:rPr>
          <w:rFonts w:ascii="Times New Roman" w:hAnsi="Times New Roman"/>
          <w:sz w:val="28"/>
          <w:szCs w:val="28"/>
        </w:rPr>
        <w:t>, гипонатриемия, гипогликемия</w:t>
      </w:r>
    </w:p>
    <w:p w14:paraId="7E711C3A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депрессия</w:t>
      </w:r>
    </w:p>
    <w:p w14:paraId="5454E849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 xml:space="preserve">периферическая сенсорная нейропатия, </w:t>
      </w:r>
      <w:proofErr w:type="spellStart"/>
      <w:r w:rsidRPr="008A10A3">
        <w:rPr>
          <w:rFonts w:ascii="Times New Roman" w:hAnsi="Times New Roman"/>
          <w:sz w:val="28"/>
          <w:szCs w:val="28"/>
        </w:rPr>
        <w:t>дисгевзия</w:t>
      </w:r>
      <w:proofErr w:type="spellEnd"/>
    </w:p>
    <w:p w14:paraId="5860253D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звон в ушах</w:t>
      </w:r>
    </w:p>
    <w:p w14:paraId="7B818480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застойная сердечная недостаточность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10A3">
        <w:rPr>
          <w:rFonts w:ascii="Times New Roman" w:hAnsi="Times New Roman"/>
          <w:sz w:val="28"/>
          <w:szCs w:val="28"/>
        </w:rPr>
        <w:t>ишемия и инфаркт миокарда</w:t>
      </w:r>
    </w:p>
    <w:p w14:paraId="32C51F8E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приливы</w:t>
      </w:r>
    </w:p>
    <w:p w14:paraId="4F586A92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 xml:space="preserve">ринорея, </w:t>
      </w:r>
      <w:proofErr w:type="spellStart"/>
      <w:r w:rsidRPr="008A10A3">
        <w:rPr>
          <w:rFonts w:ascii="Times New Roman" w:hAnsi="Times New Roman"/>
          <w:sz w:val="28"/>
          <w:szCs w:val="28"/>
        </w:rPr>
        <w:t>дисфония</w:t>
      </w:r>
      <w:proofErr w:type="spellEnd"/>
    </w:p>
    <w:p w14:paraId="0DFD30AB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 xml:space="preserve">стоматит (включая сухость во рту </w:t>
      </w:r>
      <w:proofErr w:type="spellStart"/>
      <w:r w:rsidRPr="008A10A3">
        <w:rPr>
          <w:rFonts w:ascii="Times New Roman" w:hAnsi="Times New Roman"/>
          <w:sz w:val="28"/>
          <w:szCs w:val="28"/>
        </w:rPr>
        <w:t>глоссодиния</w:t>
      </w:r>
      <w:proofErr w:type="spellEnd"/>
      <w:r w:rsidRPr="008A10A3">
        <w:rPr>
          <w:rFonts w:ascii="Times New Roman" w:hAnsi="Times New Roman"/>
          <w:sz w:val="28"/>
          <w:szCs w:val="28"/>
        </w:rPr>
        <w:t xml:space="preserve">), диспепсия, дисфагия, </w:t>
      </w:r>
      <w:proofErr w:type="spellStart"/>
      <w:r w:rsidRPr="008A10A3">
        <w:rPr>
          <w:rFonts w:ascii="Times New Roman" w:hAnsi="Times New Roman"/>
          <w:sz w:val="28"/>
          <w:szCs w:val="28"/>
        </w:rPr>
        <w:t>гастроэзофагеальный</w:t>
      </w:r>
      <w:proofErr w:type="spellEnd"/>
      <w:r w:rsidRPr="008A10A3">
        <w:rPr>
          <w:rFonts w:ascii="Times New Roman" w:hAnsi="Times New Roman"/>
          <w:sz w:val="28"/>
          <w:szCs w:val="28"/>
        </w:rPr>
        <w:t xml:space="preserve"> рефлюкс</w:t>
      </w:r>
    </w:p>
    <w:p w14:paraId="4540CA7E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10A3">
        <w:rPr>
          <w:rFonts w:ascii="Times New Roman" w:hAnsi="Times New Roman"/>
          <w:sz w:val="28"/>
          <w:szCs w:val="28"/>
        </w:rPr>
        <w:t>кератоакантома</w:t>
      </w:r>
      <w:proofErr w:type="spellEnd"/>
      <w:r w:rsidRPr="008A10A3">
        <w:rPr>
          <w:rFonts w:ascii="Times New Roman" w:hAnsi="Times New Roman"/>
          <w:sz w:val="28"/>
          <w:szCs w:val="28"/>
        </w:rPr>
        <w:t xml:space="preserve">/плоскоклеточный рак кожи, </w:t>
      </w:r>
      <w:proofErr w:type="spellStart"/>
      <w:r w:rsidRPr="008A10A3">
        <w:rPr>
          <w:rFonts w:ascii="Times New Roman" w:hAnsi="Times New Roman"/>
          <w:sz w:val="28"/>
          <w:szCs w:val="28"/>
        </w:rPr>
        <w:t>эксфолиативный</w:t>
      </w:r>
      <w:proofErr w:type="spellEnd"/>
      <w:r w:rsidRPr="008A10A3">
        <w:rPr>
          <w:rFonts w:ascii="Times New Roman" w:hAnsi="Times New Roman"/>
          <w:sz w:val="28"/>
          <w:szCs w:val="28"/>
        </w:rPr>
        <w:t xml:space="preserve"> дерматит, </w:t>
      </w:r>
    </w:p>
    <w:p w14:paraId="61A50A5B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0A3">
        <w:rPr>
          <w:rFonts w:ascii="Times New Roman" w:hAnsi="Times New Roman"/>
          <w:sz w:val="28"/>
          <w:szCs w:val="28"/>
        </w:rPr>
        <w:t>акне, шелушение кожи, гиперкератоз</w:t>
      </w:r>
    </w:p>
    <w:p w14:paraId="138B22F2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миалгии, мышечные спазмы</w:t>
      </w:r>
    </w:p>
    <w:p w14:paraId="5BC8683E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протеинурия, почечная недостаточность</w:t>
      </w:r>
    </w:p>
    <w:p w14:paraId="3253F38F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эректильная дисфункция</w:t>
      </w:r>
    </w:p>
    <w:p w14:paraId="59B3710A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астенический синдром, гриппоподобный синдром, воспаление слизистых</w:t>
      </w:r>
    </w:p>
    <w:p w14:paraId="54048065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транзиторное повышение уровня трансаминаз в плазме крови</w:t>
      </w:r>
    </w:p>
    <w:p w14:paraId="4BBE94E2" w14:textId="77777777" w:rsidR="00F40388" w:rsidRPr="008A10A3" w:rsidRDefault="00F40388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6962750C" w14:textId="77777777" w:rsidR="008A10A3" w:rsidRPr="008A10A3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8A10A3" w:rsidRPr="008A10A3">
        <w:rPr>
          <w:rFonts w:ascii="Times New Roman" w:hAnsi="Times New Roman"/>
          <w:sz w:val="28"/>
          <w:szCs w:val="28"/>
        </w:rPr>
        <w:t xml:space="preserve">анафилактические реакции, реакции гиперчувствительности (в том числе </w:t>
      </w:r>
    </w:p>
    <w:p w14:paraId="01312A20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0A3">
        <w:rPr>
          <w:rFonts w:ascii="Times New Roman" w:hAnsi="Times New Roman"/>
          <w:sz w:val="28"/>
          <w:szCs w:val="28"/>
        </w:rPr>
        <w:t xml:space="preserve">  кожные реакции и крапивница) </w:t>
      </w:r>
    </w:p>
    <w:p w14:paraId="5629BC28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гипертиреоз</w:t>
      </w:r>
    </w:p>
    <w:p w14:paraId="1A241CA8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дегидратация</w:t>
      </w:r>
    </w:p>
    <w:p w14:paraId="766C1AF7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 xml:space="preserve">обратимая задняя </w:t>
      </w:r>
      <w:proofErr w:type="spellStart"/>
      <w:r w:rsidRPr="008A10A3">
        <w:rPr>
          <w:rFonts w:ascii="Times New Roman" w:hAnsi="Times New Roman"/>
          <w:sz w:val="28"/>
          <w:szCs w:val="28"/>
        </w:rPr>
        <w:t>лейкоэнцефалопатия</w:t>
      </w:r>
      <w:proofErr w:type="spellEnd"/>
    </w:p>
    <w:p w14:paraId="2C536FF1" w14:textId="77777777" w:rsid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 xml:space="preserve"> гипертонический криз</w:t>
      </w:r>
    </w:p>
    <w:p w14:paraId="17FA2DEB" w14:textId="77777777" w:rsidR="008A10A3" w:rsidRPr="008A10A3" w:rsidRDefault="008A10A3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10A3">
        <w:rPr>
          <w:rFonts w:ascii="Times New Roman" w:hAnsi="Times New Roman"/>
          <w:sz w:val="28"/>
          <w:szCs w:val="28"/>
        </w:rPr>
        <w:t>явления, сходные с интерстициальными заболеваниями легких (</w:t>
      </w:r>
      <w:proofErr w:type="spellStart"/>
      <w:r w:rsidRPr="008A10A3">
        <w:rPr>
          <w:rFonts w:ascii="Times New Roman" w:hAnsi="Times New Roman"/>
          <w:sz w:val="28"/>
          <w:szCs w:val="28"/>
        </w:rPr>
        <w:t>пневмонит</w:t>
      </w:r>
      <w:proofErr w:type="spellEnd"/>
      <w:r w:rsidRPr="008A10A3">
        <w:rPr>
          <w:rFonts w:ascii="Times New Roman" w:hAnsi="Times New Roman"/>
          <w:sz w:val="28"/>
          <w:szCs w:val="28"/>
        </w:rPr>
        <w:t xml:space="preserve">, лучевой </w:t>
      </w:r>
      <w:proofErr w:type="spellStart"/>
      <w:r w:rsidRPr="008A10A3">
        <w:rPr>
          <w:rFonts w:ascii="Times New Roman" w:hAnsi="Times New Roman"/>
          <w:sz w:val="28"/>
          <w:szCs w:val="28"/>
        </w:rPr>
        <w:t>пневмонит</w:t>
      </w:r>
      <w:proofErr w:type="spellEnd"/>
      <w:r w:rsidRPr="008A10A3">
        <w:rPr>
          <w:rFonts w:ascii="Times New Roman" w:hAnsi="Times New Roman"/>
          <w:sz w:val="28"/>
          <w:szCs w:val="28"/>
        </w:rPr>
        <w:t>, острый респираторный дистресс-синдром)</w:t>
      </w:r>
    </w:p>
    <w:p w14:paraId="73C06124" w14:textId="77777777" w:rsidR="008A10A3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гастрит, панкреатит, перфорация желудочно-кишечном тракта</w:t>
      </w:r>
    </w:p>
    <w:p w14:paraId="365B9AF0" w14:textId="77777777" w:rsidR="005A4839" w:rsidRP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повышение уровня билирубина, желтуха, холецистит, холангит</w:t>
      </w:r>
    </w:p>
    <w:p w14:paraId="7353C293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 xml:space="preserve">экзема, </w:t>
      </w:r>
      <w:proofErr w:type="spellStart"/>
      <w:r w:rsidRPr="005A4839">
        <w:rPr>
          <w:rFonts w:ascii="Times New Roman" w:hAnsi="Times New Roman"/>
          <w:sz w:val="28"/>
          <w:szCs w:val="28"/>
        </w:rPr>
        <w:t>мультиформная</w:t>
      </w:r>
      <w:proofErr w:type="spellEnd"/>
      <w:r w:rsidRPr="005A4839">
        <w:rPr>
          <w:rFonts w:ascii="Times New Roman" w:hAnsi="Times New Roman"/>
          <w:sz w:val="28"/>
          <w:szCs w:val="28"/>
        </w:rPr>
        <w:t xml:space="preserve"> эритема</w:t>
      </w:r>
    </w:p>
    <w:p w14:paraId="6F5C75FD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гинекомастия</w:t>
      </w:r>
    </w:p>
    <w:p w14:paraId="49275D07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транзиторное повышение уровня щелочной фосфатазы в крови, отклонение от нормы уровня протромбина и значений МНО</w:t>
      </w:r>
    </w:p>
    <w:p w14:paraId="0628A199" w14:textId="77777777" w:rsidR="001937AD" w:rsidRPr="00844CE8" w:rsidRDefault="001937AD" w:rsidP="009540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5FCC2C11" w14:textId="77777777" w:rsidR="005C4B12" w:rsidRPr="00844CE8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A4839" w:rsidRPr="005A4839">
        <w:rPr>
          <w:rFonts w:ascii="Times New Roman" w:hAnsi="Times New Roman"/>
          <w:sz w:val="28"/>
          <w:szCs w:val="28"/>
        </w:rPr>
        <w:t>ангионевротический отек</w:t>
      </w:r>
    </w:p>
    <w:p w14:paraId="36C37EF0" w14:textId="77777777" w:rsidR="005C4B12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A4839" w:rsidRPr="005A4839">
        <w:rPr>
          <w:rFonts w:ascii="Times New Roman" w:hAnsi="Times New Roman"/>
          <w:sz w:val="28"/>
          <w:szCs w:val="28"/>
        </w:rPr>
        <w:t>удлинение интервала QT</w:t>
      </w:r>
    </w:p>
    <w:p w14:paraId="04E99336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лекарственный гепатит</w:t>
      </w:r>
    </w:p>
    <w:p w14:paraId="0FC11FD0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4839">
        <w:rPr>
          <w:rFonts w:ascii="Times New Roman" w:hAnsi="Times New Roman"/>
          <w:sz w:val="28"/>
          <w:szCs w:val="28"/>
        </w:rPr>
        <w:t>возвратный лучевой дерматит, синдром Стивена-</w:t>
      </w:r>
      <w:proofErr w:type="gramStart"/>
      <w:r w:rsidRPr="005A4839">
        <w:rPr>
          <w:rFonts w:ascii="Times New Roman" w:hAnsi="Times New Roman"/>
          <w:sz w:val="28"/>
          <w:szCs w:val="28"/>
        </w:rPr>
        <w:t xml:space="preserve">Джонсона,   </w:t>
      </w:r>
      <w:proofErr w:type="spellStart"/>
      <w:proofErr w:type="gramEnd"/>
      <w:r w:rsidRPr="005A4839">
        <w:rPr>
          <w:rFonts w:ascii="Times New Roman" w:hAnsi="Times New Roman"/>
          <w:sz w:val="28"/>
          <w:szCs w:val="28"/>
        </w:rPr>
        <w:t>лейкоцитокластический</w:t>
      </w:r>
      <w:proofErr w:type="spellEnd"/>
      <w:r w:rsidRPr="005A4839">
        <w:rPr>
          <w:rFonts w:ascii="Times New Roman" w:hAnsi="Times New Roman"/>
          <w:sz w:val="28"/>
          <w:szCs w:val="28"/>
        </w:rPr>
        <w:t xml:space="preserve"> васкулит, токсический </w:t>
      </w:r>
      <w:proofErr w:type="spellStart"/>
      <w:r w:rsidRPr="005A4839">
        <w:rPr>
          <w:rFonts w:ascii="Times New Roman" w:hAnsi="Times New Roman"/>
          <w:sz w:val="28"/>
          <w:szCs w:val="28"/>
        </w:rPr>
        <w:t>эпидемальный</w:t>
      </w:r>
      <w:proofErr w:type="spellEnd"/>
      <w:r w:rsidRPr="005A48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839">
        <w:rPr>
          <w:rFonts w:ascii="Times New Roman" w:hAnsi="Times New Roman"/>
          <w:sz w:val="28"/>
          <w:szCs w:val="28"/>
        </w:rPr>
        <w:t>некролиз</w:t>
      </w:r>
      <w:proofErr w:type="spellEnd"/>
    </w:p>
    <w:p w14:paraId="7EEE33F1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A4839">
        <w:rPr>
          <w:rFonts w:ascii="Times New Roman" w:hAnsi="Times New Roman"/>
          <w:sz w:val="28"/>
          <w:szCs w:val="28"/>
        </w:rPr>
        <w:t>рабдомиолиз</w:t>
      </w:r>
      <w:proofErr w:type="spellEnd"/>
    </w:p>
    <w:p w14:paraId="134BAC66" w14:textId="77777777" w:rsidR="005A4839" w:rsidRDefault="005A4839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A4839">
        <w:rPr>
          <w:rFonts w:ascii="Times New Roman" w:hAnsi="Times New Roman"/>
          <w:sz w:val="28"/>
          <w:szCs w:val="28"/>
        </w:rPr>
        <w:t>нефротический синдром</w:t>
      </w:r>
    </w:p>
    <w:p w14:paraId="592184AB" w14:textId="77777777" w:rsidR="007E1A7B" w:rsidRPr="005A4839" w:rsidRDefault="007E1A7B" w:rsidP="00954059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A4839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</w:t>
      </w:r>
      <w:r w:rsidRPr="005A4839">
        <w:rPr>
          <w:rFonts w:ascii="Times New Roman" w:hAnsi="Times New Roman"/>
          <w:i/>
          <w:sz w:val="32"/>
          <w:szCs w:val="32"/>
        </w:rPr>
        <w:t>)</w:t>
      </w:r>
    </w:p>
    <w:p w14:paraId="75EB7620" w14:textId="77777777" w:rsidR="005C4B12" w:rsidRPr="00844CE8" w:rsidRDefault="007E1A7B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 xml:space="preserve">- </w:t>
      </w:r>
      <w:r w:rsidR="005A4839" w:rsidRPr="005A4839">
        <w:rPr>
          <w:rFonts w:ascii="Times New Roman" w:hAnsi="Times New Roman"/>
          <w:sz w:val="28"/>
          <w:szCs w:val="28"/>
        </w:rPr>
        <w:t>энцефалопатия</w:t>
      </w:r>
    </w:p>
    <w:p w14:paraId="651F99F1" w14:textId="77777777" w:rsidR="005A4839" w:rsidRDefault="005C4B12" w:rsidP="0095405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5A4839" w:rsidRPr="005A4839">
        <w:rPr>
          <w:rFonts w:ascii="Times New Roman" w:hAnsi="Times New Roman"/>
          <w:sz w:val="28"/>
          <w:szCs w:val="28"/>
        </w:rPr>
        <w:t>аневризмы и рассечение артерий</w:t>
      </w:r>
    </w:p>
    <w:p w14:paraId="0861972F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F19761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29492BA6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5779DE">
        <w:rPr>
          <w:rFonts w:ascii="Times New Roman" w:hAnsi="Times New Roman"/>
          <w:sz w:val="28"/>
          <w:szCs w:val="28"/>
        </w:rPr>
        <w:t xml:space="preserve">Комитет </w:t>
      </w:r>
      <w:r w:rsidR="003B56B7">
        <w:rPr>
          <w:rFonts w:ascii="Times New Roman" w:hAnsi="Times New Roman"/>
          <w:sz w:val="28"/>
          <w:szCs w:val="28"/>
        </w:rPr>
        <w:t>медицинского и фармацевтического контроля</w:t>
      </w:r>
      <w:r w:rsidR="005779DE" w:rsidRPr="005779DE">
        <w:rPr>
          <w:rFonts w:ascii="Times New Roman" w:hAnsi="Times New Roman"/>
          <w:sz w:val="28"/>
          <w:szCs w:val="28"/>
        </w:rPr>
        <w:t xml:space="preserve">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771C36C0" w14:textId="77777777" w:rsidR="006703A5" w:rsidRPr="006C577B" w:rsidRDefault="003B29E0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106D4D7A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42002F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1B0DF420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22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15B3C6E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3" w:name="2175220286"/>
      <w:bookmarkEnd w:id="22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Одна таблетка</w:t>
      </w:r>
      <w:r w:rsidR="00897DD5">
        <w:rPr>
          <w:rFonts w:ascii="Times New Roman" w:eastAsia="Times New Roman" w:hAnsi="Times New Roman"/>
          <w:bCs/>
          <w:sz w:val="28"/>
          <w:szCs w:val="28"/>
          <w:lang w:eastAsia="ru-RU"/>
        </w:rPr>
        <w:t>, покрытая пленочной оболочкой,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</w:t>
      </w:r>
      <w:r w:rsidR="00897DD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42A0268" w14:textId="77777777" w:rsidR="00844CE8" w:rsidRDefault="00844CE8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сорафениба</w:t>
      </w:r>
      <w:proofErr w:type="spellEnd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тозилат</w:t>
      </w:r>
      <w:proofErr w:type="spellEnd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эквивалентно </w:t>
      </w:r>
      <w:proofErr w:type="spellStart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сорафенибу</w:t>
      </w:r>
      <w:proofErr w:type="spellEnd"/>
      <w:r w:rsidR="00897DD5" w:rsidRPr="00897D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200.00 мг</w:t>
      </w:r>
      <w:r w:rsidR="00664CD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</w:p>
    <w:p w14:paraId="7AAB1D54" w14:textId="77777777" w:rsidR="00664CD6" w:rsidRPr="00664CD6" w:rsidRDefault="006B7A90" w:rsidP="00664C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664CD6">
        <w:rPr>
          <w:rFonts w:ascii="Times New Roman" w:hAnsi="Times New Roman"/>
          <w:iCs/>
          <w:spacing w:val="-2"/>
          <w:sz w:val="28"/>
          <w:szCs w:val="28"/>
        </w:rPr>
        <w:t>ц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еллюлоза микрокристаллическая (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Авицел</w:t>
      </w:r>
      <w:proofErr w:type="spellEnd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 РН 101)</w:t>
      </w:r>
      <w:r w:rsidR="00664CD6">
        <w:rPr>
          <w:rFonts w:ascii="Times New Roman" w:hAnsi="Times New Roman"/>
          <w:iCs/>
          <w:spacing w:val="-2"/>
          <w:sz w:val="28"/>
          <w:szCs w:val="28"/>
        </w:rPr>
        <w:t>, н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атрия 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кроскармеллоза</w:t>
      </w:r>
      <w:proofErr w:type="spellEnd"/>
      <w:r w:rsidR="00664CD6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="00664CD6">
        <w:rPr>
          <w:rFonts w:ascii="Times New Roman" w:hAnsi="Times New Roman"/>
          <w:iCs/>
          <w:spacing w:val="-2"/>
          <w:sz w:val="28"/>
          <w:szCs w:val="28"/>
        </w:rPr>
        <w:t>г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ипромеллоза</w:t>
      </w:r>
      <w:proofErr w:type="spellEnd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 50 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срs</w:t>
      </w:r>
      <w:proofErr w:type="spellEnd"/>
      <w:r w:rsidR="00664CD6">
        <w:rPr>
          <w:rFonts w:ascii="Times New Roman" w:hAnsi="Times New Roman"/>
          <w:iCs/>
          <w:spacing w:val="-2"/>
          <w:sz w:val="28"/>
          <w:szCs w:val="28"/>
        </w:rPr>
        <w:t>, н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атрия 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лаурилсульфат</w:t>
      </w:r>
      <w:proofErr w:type="spellEnd"/>
      <w:r w:rsidR="00664CD6" w:rsidRPr="00664CD6">
        <w:rPr>
          <w:rFonts w:ascii="Times New Roman" w:hAnsi="Times New Roman"/>
          <w:iCs/>
          <w:spacing w:val="-2"/>
          <w:sz w:val="28"/>
          <w:szCs w:val="28"/>
          <w:lang w:val="kk-KZ"/>
        </w:rPr>
        <w:t xml:space="preserve"> </w:t>
      </w:r>
      <w:r w:rsidR="00664CD6" w:rsidRPr="009B03EE">
        <w:rPr>
          <w:rFonts w:ascii="Times New Roman" w:hAnsi="Times New Roman"/>
          <w:iCs/>
          <w:spacing w:val="-2"/>
          <w:sz w:val="28"/>
          <w:szCs w:val="28"/>
        </w:rPr>
        <w:t>(</w:t>
      </w:r>
      <w:proofErr w:type="spellStart"/>
      <w:r w:rsidR="00664CD6" w:rsidRPr="009B03EE">
        <w:rPr>
          <w:rFonts w:ascii="Times New Roman" w:hAnsi="Times New Roman"/>
          <w:iCs/>
          <w:spacing w:val="-2"/>
          <w:sz w:val="28"/>
          <w:szCs w:val="28"/>
        </w:rPr>
        <w:t>Kolliphor</w:t>
      </w:r>
      <w:proofErr w:type="spellEnd"/>
      <w:r w:rsidR="00664CD6" w:rsidRPr="009B03EE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="00664CD6" w:rsidRPr="009B03EE">
        <w:rPr>
          <w:rFonts w:ascii="Times New Roman" w:hAnsi="Times New Roman"/>
          <w:iCs/>
          <w:spacing w:val="-2"/>
          <w:sz w:val="28"/>
          <w:szCs w:val="28"/>
        </w:rPr>
        <w:t>fine</w:t>
      </w:r>
      <w:proofErr w:type="spellEnd"/>
      <w:r w:rsidR="00664CD6" w:rsidRPr="009B03EE">
        <w:rPr>
          <w:rFonts w:ascii="Times New Roman" w:hAnsi="Times New Roman"/>
          <w:iCs/>
          <w:spacing w:val="-2"/>
          <w:sz w:val="28"/>
          <w:szCs w:val="28"/>
        </w:rPr>
        <w:t>),</w:t>
      </w:r>
      <w:r w:rsidR="00664CD6">
        <w:rPr>
          <w:rFonts w:ascii="Times New Roman" w:hAnsi="Times New Roman"/>
          <w:iCs/>
          <w:spacing w:val="-2"/>
          <w:sz w:val="28"/>
          <w:szCs w:val="28"/>
        </w:rPr>
        <w:t xml:space="preserve"> н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атрия 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кроскармеллоза</w:t>
      </w:r>
      <w:proofErr w:type="spellEnd"/>
      <w:r w:rsidR="00664CD6">
        <w:rPr>
          <w:rFonts w:ascii="Times New Roman" w:hAnsi="Times New Roman"/>
          <w:iCs/>
          <w:spacing w:val="-2"/>
          <w:sz w:val="28"/>
          <w:szCs w:val="28"/>
        </w:rPr>
        <w:t>, м</w:t>
      </w:r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 xml:space="preserve">агния </w:t>
      </w:r>
      <w:proofErr w:type="spellStart"/>
      <w:r w:rsidR="00664CD6" w:rsidRPr="00664CD6">
        <w:rPr>
          <w:rFonts w:ascii="Times New Roman" w:hAnsi="Times New Roman"/>
          <w:iCs/>
          <w:spacing w:val="-2"/>
          <w:sz w:val="28"/>
          <w:szCs w:val="28"/>
        </w:rPr>
        <w:t>стеарат</w:t>
      </w:r>
      <w:proofErr w:type="spellEnd"/>
      <w:r w:rsidR="00664CD6"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11912B26" w14:textId="77777777" w:rsidR="00664CD6" w:rsidRPr="00664CD6" w:rsidRDefault="00664CD6" w:rsidP="00664C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664CD6">
        <w:rPr>
          <w:rFonts w:ascii="Times New Roman" w:hAnsi="Times New Roman"/>
          <w:i/>
          <w:iCs/>
          <w:spacing w:val="-2"/>
          <w:sz w:val="28"/>
          <w:szCs w:val="28"/>
        </w:rPr>
        <w:t>Пленочное покрытие</w:t>
      </w:r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: </w:t>
      </w:r>
      <w:proofErr w:type="spellStart"/>
      <w:r w:rsidRPr="00664CD6">
        <w:rPr>
          <w:rFonts w:ascii="Times New Roman" w:hAnsi="Times New Roman"/>
          <w:iCs/>
          <w:spacing w:val="-2"/>
          <w:sz w:val="28"/>
          <w:szCs w:val="28"/>
        </w:rPr>
        <w:t>Опадрай</w:t>
      </w:r>
      <w:proofErr w:type="spellEnd"/>
      <w:r w:rsidRPr="00664CD6">
        <w:rPr>
          <w:rFonts w:ascii="Times New Roman" w:hAnsi="Times New Roman"/>
          <w:iCs/>
          <w:spacing w:val="-2"/>
          <w:sz w:val="28"/>
          <w:szCs w:val="28"/>
        </w:rPr>
        <w:t xml:space="preserve"> коричневый (03F565212):</w:t>
      </w:r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Pr="00664CD6">
        <w:rPr>
          <w:rFonts w:ascii="Times New Roman" w:hAnsi="Times New Roman"/>
          <w:iCs/>
          <w:spacing w:val="-2"/>
          <w:sz w:val="28"/>
          <w:szCs w:val="28"/>
          <w:lang w:val="kk-KZ"/>
        </w:rPr>
        <w:t>г</w:t>
      </w:r>
      <w:proofErr w:type="spellStart"/>
      <w:r w:rsidRPr="00664CD6">
        <w:rPr>
          <w:rFonts w:ascii="Times New Roman" w:hAnsi="Times New Roman"/>
          <w:iCs/>
          <w:spacing w:val="-2"/>
          <w:sz w:val="28"/>
          <w:szCs w:val="28"/>
        </w:rPr>
        <w:t>ипромеллоза</w:t>
      </w:r>
      <w:proofErr w:type="spellEnd"/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, </w:t>
      </w:r>
      <w:r w:rsidRPr="00664CD6">
        <w:rPr>
          <w:rFonts w:ascii="Times New Roman" w:hAnsi="Times New Roman"/>
          <w:iCs/>
          <w:spacing w:val="-2"/>
          <w:sz w:val="28"/>
          <w:szCs w:val="28"/>
        </w:rPr>
        <w:t>титана диоксид (Е</w:t>
      </w:r>
      <w:r w:rsidR="00680665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664CD6">
        <w:rPr>
          <w:rFonts w:ascii="Times New Roman" w:hAnsi="Times New Roman"/>
          <w:iCs/>
          <w:spacing w:val="-2"/>
          <w:sz w:val="28"/>
          <w:szCs w:val="28"/>
        </w:rPr>
        <w:t>171)</w:t>
      </w:r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, </w:t>
      </w:r>
      <w:proofErr w:type="spellStart"/>
      <w:r w:rsidRPr="00664CD6">
        <w:rPr>
          <w:rFonts w:ascii="Times New Roman" w:hAnsi="Times New Roman"/>
          <w:iCs/>
          <w:spacing w:val="-2"/>
          <w:sz w:val="28"/>
          <w:szCs w:val="28"/>
        </w:rPr>
        <w:t>макрогол</w:t>
      </w:r>
      <w:proofErr w:type="spellEnd"/>
      <w:r w:rsidRPr="00664CD6">
        <w:rPr>
          <w:rFonts w:ascii="Times New Roman" w:hAnsi="Times New Roman"/>
          <w:iCs/>
          <w:spacing w:val="-2"/>
          <w:sz w:val="28"/>
          <w:szCs w:val="28"/>
        </w:rPr>
        <w:t>/</w:t>
      </w:r>
      <w:proofErr w:type="spellStart"/>
      <w:r w:rsidRPr="00664CD6">
        <w:rPr>
          <w:rFonts w:ascii="Times New Roman" w:hAnsi="Times New Roman"/>
          <w:iCs/>
          <w:spacing w:val="-2"/>
          <w:sz w:val="28"/>
          <w:szCs w:val="28"/>
        </w:rPr>
        <w:t>полиэтиленгликоль</w:t>
      </w:r>
      <w:proofErr w:type="spellEnd"/>
      <w:r w:rsidR="003A4E3A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r w:rsidR="003A4E3A" w:rsidRPr="003A4E3A">
        <w:rPr>
          <w:rFonts w:ascii="Times New Roman" w:hAnsi="Times New Roman"/>
          <w:iCs/>
          <w:spacing w:val="-2"/>
          <w:sz w:val="28"/>
          <w:szCs w:val="28"/>
        </w:rPr>
        <w:t>железа оксид красный (Е 172)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093103D6" w14:textId="77777777" w:rsidR="006B7A90" w:rsidRPr="00897DD5" w:rsidRDefault="006B7A90" w:rsidP="00897D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6CD09B" w14:textId="77777777" w:rsidR="006B7A90" w:rsidRPr="00844CE8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23"/>
    <w:p w14:paraId="418B9610" w14:textId="77777777" w:rsidR="00B742B0" w:rsidRPr="00B742B0" w:rsidRDefault="00B742B0" w:rsidP="00B742B0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2B0">
        <w:rPr>
          <w:rFonts w:ascii="Times New Roman" w:eastAsia="Times New Roman" w:hAnsi="Times New Roman"/>
          <w:sz w:val="28"/>
          <w:szCs w:val="28"/>
          <w:lang w:eastAsia="ru-RU"/>
        </w:rPr>
        <w:t>Таблетки круглой формы, покрытые пленочной оболочкой красного цвета, с гравировкой “BA3” на одной стороне и гладкие с другой стороны.</w:t>
      </w:r>
    </w:p>
    <w:p w14:paraId="2308AFCB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4CB944" w14:textId="77777777" w:rsidR="00C9308C" w:rsidRDefault="00B742B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4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5D6C3A39" w14:textId="77777777" w:rsidR="00B742B0" w:rsidRPr="00B742B0" w:rsidRDefault="00B742B0" w:rsidP="00B742B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B742B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30 или 120 таблеток помещают во флакон из полиэтилена высокой плотности. </w:t>
      </w:r>
    </w:p>
    <w:p w14:paraId="1C02725A" w14:textId="77777777" w:rsidR="00B742B0" w:rsidRDefault="00B742B0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B742B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помещают в пачку из картона.</w:t>
      </w:r>
    </w:p>
    <w:p w14:paraId="24E9B1C7" w14:textId="77777777" w:rsidR="00680665" w:rsidRPr="00B742B0" w:rsidRDefault="00680665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3455D2EB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B8960FA" w14:textId="77777777" w:rsidR="00D14D61" w:rsidRPr="00844CE8" w:rsidRDefault="00B742B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405A4E55" w14:textId="77777777" w:rsidR="000E01A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844CE8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844CE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637BE1DA" w14:textId="77777777" w:rsidR="008F371A" w:rsidRPr="00844CE8" w:rsidRDefault="008F371A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45345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5" w:name="2175220288"/>
      <w:bookmarkEnd w:id="2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2F4B4733" w14:textId="77777777" w:rsidR="00B742B0" w:rsidRPr="00B742B0" w:rsidRDefault="00B742B0" w:rsidP="00B742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42B0">
        <w:rPr>
          <w:rFonts w:ascii="Times New Roman" w:hAnsi="Times New Roman"/>
          <w:color w:val="000000"/>
          <w:sz w:val="28"/>
          <w:szCs w:val="28"/>
        </w:rPr>
        <w:t xml:space="preserve">Хранить </w:t>
      </w:r>
      <w:r w:rsidR="008F371A">
        <w:rPr>
          <w:rFonts w:ascii="Times New Roman" w:hAnsi="Times New Roman"/>
          <w:color w:val="000000"/>
          <w:sz w:val="28"/>
          <w:szCs w:val="28"/>
        </w:rPr>
        <w:t xml:space="preserve">в защищенном от света месте </w:t>
      </w:r>
      <w:r w:rsidRPr="00B742B0">
        <w:rPr>
          <w:rFonts w:ascii="Times New Roman" w:hAnsi="Times New Roman"/>
          <w:color w:val="000000"/>
          <w:sz w:val="28"/>
          <w:szCs w:val="28"/>
        </w:rPr>
        <w:t xml:space="preserve">при температуре не выше </w:t>
      </w:r>
      <w:r w:rsidRPr="00B742B0">
        <w:rPr>
          <w:rFonts w:ascii="Times New Roman" w:hAnsi="Times New Roman"/>
          <w:color w:val="000000"/>
          <w:sz w:val="28"/>
          <w:szCs w:val="28"/>
          <w:lang w:val="kk-KZ"/>
        </w:rPr>
        <w:t>30</w:t>
      </w:r>
      <w:r w:rsidRPr="00B742B0">
        <w:rPr>
          <w:rFonts w:ascii="Times New Roman" w:hAnsi="Times New Roman"/>
          <w:color w:val="000000"/>
          <w:sz w:val="28"/>
          <w:szCs w:val="28"/>
        </w:rPr>
        <w:t xml:space="preserve">ºС. </w:t>
      </w:r>
    </w:p>
    <w:p w14:paraId="75F72DCA" w14:textId="77777777" w:rsidR="00D14D61" w:rsidRPr="00844CE8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lastRenderedPageBreak/>
        <w:t xml:space="preserve">Хранить в недоступном для детей месте! </w:t>
      </w:r>
      <w:bookmarkStart w:id="26" w:name="2175220289"/>
      <w:bookmarkEnd w:id="25"/>
    </w:p>
    <w:bookmarkEnd w:id="26"/>
    <w:p w14:paraId="26A49C6A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15611" w14:textId="77777777" w:rsidR="006C6558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781F8F8E" w14:textId="77777777" w:rsidR="00B742B0" w:rsidRPr="006C6558" w:rsidRDefault="00B742B0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6DD3426E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A85BF0" w14:textId="77777777" w:rsidR="006B7A90" w:rsidRPr="007224B0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7224B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224B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7224B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</w:p>
    <w:p w14:paraId="41DBE845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 xml:space="preserve">BDR Pharmaceuticals International Pvt. Ltd., </w:t>
      </w:r>
    </w:p>
    <w:p w14:paraId="2C6A6FFE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 xml:space="preserve">R.S. No: 578, Near Effluent Channel Road, Village: Luna, </w:t>
      </w:r>
    </w:p>
    <w:p w14:paraId="0A571D59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 w:bidi="ru-RU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Taluka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: </w:t>
      </w:r>
      <w:proofErr w:type="spellStart"/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Padra</w:t>
      </w:r>
      <w:proofErr w:type="spellEnd"/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, </w:t>
      </w: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District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: </w:t>
      </w: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Vadodara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 – 391</w:t>
      </w:r>
      <w:r w:rsidR="000131CE">
        <w:rPr>
          <w:rFonts w:ascii="Times New Roman" w:hAnsi="Times New Roman"/>
          <w:color w:val="000000"/>
          <w:sz w:val="28"/>
          <w:szCs w:val="24"/>
          <w:lang w:val="en-US" w:bidi="ru-RU"/>
        </w:rPr>
        <w:t> 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>440</w:t>
      </w:r>
      <w:r w:rsidR="000131CE" w:rsidRPr="009B03EE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, </w:t>
      </w:r>
      <w:r w:rsidRPr="00B742B0">
        <w:rPr>
          <w:rFonts w:ascii="Times New Roman" w:hAnsi="Times New Roman"/>
          <w:color w:val="000000"/>
          <w:sz w:val="28"/>
          <w:szCs w:val="24"/>
          <w:lang w:bidi="ru-RU"/>
        </w:rPr>
        <w:t>Индия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>.</w:t>
      </w:r>
    </w:p>
    <w:p w14:paraId="4B0D8A0A" w14:textId="77777777" w:rsidR="00B742B0" w:rsidRPr="00D219AA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742B0">
        <w:rPr>
          <w:rFonts w:ascii="Times New Roman" w:hAnsi="Times New Roman"/>
          <w:color w:val="000000"/>
          <w:sz w:val="28"/>
          <w:szCs w:val="24"/>
          <w:lang w:bidi="ru-RU"/>
        </w:rPr>
        <w:t xml:space="preserve">Тел. +91 22 4056 0560, </w:t>
      </w:r>
      <w:hyperlink r:id="rId9" w:history="1"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bdrpharma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bidi="ru-RU"/>
          </w:rPr>
          <w:t>@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vsnl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bidi="ru-RU"/>
          </w:rPr>
          <w:t>.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com</w:t>
        </w:r>
      </w:hyperlink>
    </w:p>
    <w:p w14:paraId="61759000" w14:textId="77777777" w:rsidR="001B22D2" w:rsidRPr="00B742B0" w:rsidRDefault="001B22D2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</w:p>
    <w:p w14:paraId="76223F31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1ADF29EC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 xml:space="preserve">BDR Pharmaceuticals International Pvt. Ltd., </w:t>
      </w:r>
    </w:p>
    <w:p w14:paraId="7E580498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 xml:space="preserve">R.S. No: 578, Near Effluent Channel Road, Village: Luna, </w:t>
      </w:r>
    </w:p>
    <w:p w14:paraId="11B52E76" w14:textId="77777777" w:rsidR="00B742B0" w:rsidRPr="00B742B0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en-US" w:bidi="ru-RU"/>
        </w:rPr>
      </w:pP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Taluka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: </w:t>
      </w:r>
      <w:proofErr w:type="spellStart"/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Padra</w:t>
      </w:r>
      <w:proofErr w:type="spellEnd"/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, </w:t>
      </w: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District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: </w:t>
      </w:r>
      <w:r w:rsidRPr="00B742B0">
        <w:rPr>
          <w:rFonts w:ascii="Times New Roman" w:hAnsi="Times New Roman"/>
          <w:color w:val="000000"/>
          <w:sz w:val="28"/>
          <w:szCs w:val="24"/>
          <w:lang w:val="en-US"/>
        </w:rPr>
        <w:t>Vadodara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 – 391</w:t>
      </w:r>
      <w:r w:rsidR="000131CE">
        <w:rPr>
          <w:rFonts w:ascii="Times New Roman" w:hAnsi="Times New Roman"/>
          <w:color w:val="000000"/>
          <w:sz w:val="28"/>
          <w:szCs w:val="24"/>
          <w:lang w:val="en-US" w:bidi="ru-RU"/>
        </w:rPr>
        <w:t> 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>440</w:t>
      </w:r>
      <w:r w:rsidR="000131CE" w:rsidRPr="000131CE">
        <w:rPr>
          <w:rFonts w:ascii="Times New Roman" w:hAnsi="Times New Roman"/>
          <w:color w:val="000000"/>
          <w:sz w:val="28"/>
          <w:szCs w:val="24"/>
          <w:lang w:val="en-US" w:bidi="ru-RU"/>
        </w:rPr>
        <w:t xml:space="preserve">, </w:t>
      </w:r>
      <w:r w:rsidRPr="00B742B0">
        <w:rPr>
          <w:rFonts w:ascii="Times New Roman" w:hAnsi="Times New Roman"/>
          <w:color w:val="000000"/>
          <w:sz w:val="28"/>
          <w:szCs w:val="24"/>
          <w:lang w:bidi="ru-RU"/>
        </w:rPr>
        <w:t>Индия</w:t>
      </w:r>
      <w:r w:rsidRPr="00B742B0">
        <w:rPr>
          <w:rFonts w:ascii="Times New Roman" w:hAnsi="Times New Roman"/>
          <w:color w:val="000000"/>
          <w:sz w:val="28"/>
          <w:szCs w:val="24"/>
          <w:lang w:val="en-US" w:bidi="ru-RU"/>
        </w:rPr>
        <w:t>.</w:t>
      </w:r>
    </w:p>
    <w:p w14:paraId="6EC4266D" w14:textId="77777777" w:rsidR="00B742B0" w:rsidRPr="00D219AA" w:rsidRDefault="00B742B0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742B0">
        <w:rPr>
          <w:rFonts w:ascii="Times New Roman" w:hAnsi="Times New Roman"/>
          <w:color w:val="000000"/>
          <w:sz w:val="28"/>
          <w:szCs w:val="24"/>
          <w:lang w:bidi="ru-RU"/>
        </w:rPr>
        <w:t xml:space="preserve">Тел. +91 22 4056 0560, </w:t>
      </w:r>
      <w:hyperlink r:id="rId10" w:history="1"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bdrpharma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bidi="ru-RU"/>
          </w:rPr>
          <w:t>@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vsnl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bidi="ru-RU"/>
          </w:rPr>
          <w:t>.</w:t>
        </w:r>
        <w:r w:rsidR="001B22D2" w:rsidRPr="0013208E">
          <w:rPr>
            <w:rStyle w:val="af"/>
            <w:rFonts w:ascii="Times New Roman" w:hAnsi="Times New Roman"/>
            <w:sz w:val="28"/>
            <w:szCs w:val="24"/>
            <w:lang w:val="en-US"/>
          </w:rPr>
          <w:t>com</w:t>
        </w:r>
      </w:hyperlink>
    </w:p>
    <w:p w14:paraId="76032153" w14:textId="77777777" w:rsidR="001B22D2" w:rsidRPr="00B742B0" w:rsidRDefault="001B22D2" w:rsidP="00B742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</w:p>
    <w:p w14:paraId="7122658F" w14:textId="77777777" w:rsidR="00976B04" w:rsidRDefault="00976B04" w:rsidP="00976B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Наименование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, адрес и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контактные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данные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(телефон, факс,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электронная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почта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)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организации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, принимающей претензии (предложения) по качеству лекарственного средства от потребителей </w:t>
      </w:r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 xml:space="preserve">на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val="uk-UA" w:eastAsia="cs-CZ"/>
        </w:rPr>
        <w:t>территории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 Республики Казахстан</w:t>
      </w:r>
    </w:p>
    <w:p w14:paraId="4F9F1B41" w14:textId="77777777" w:rsidR="00976B04" w:rsidRPr="00D219AA" w:rsidRDefault="00976B04" w:rsidP="00976B04">
      <w:pPr>
        <w:autoSpaceDE w:val="0"/>
        <w:autoSpaceDN w:val="0"/>
        <w:spacing w:after="0" w:line="240" w:lineRule="auto"/>
        <w:jc w:val="both"/>
        <w:rPr>
          <w:rStyle w:val="af"/>
          <w:rFonts w:ascii="Times New Roman" w:hAnsi="Times New Roman"/>
          <w:bCs/>
          <w:iCs/>
          <w:sz w:val="28"/>
          <w:szCs w:val="20"/>
          <w:lang w:eastAsia="cs-CZ"/>
        </w:rPr>
      </w:pP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ТОО «</w:t>
      </w:r>
      <w:r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>Rogers</w:t>
      </w:r>
      <w:r w:rsidRPr="00976B04"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0"/>
          <w:lang w:val="en-US" w:eastAsia="cs-CZ"/>
        </w:rPr>
        <w:t>Pharma</w:t>
      </w: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»</w:t>
      </w:r>
      <w:r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</w:t>
      </w: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Республика Казахстан</w:t>
      </w:r>
      <w:r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050043, </w:t>
      </w: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г</w:t>
      </w:r>
      <w:r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. </w:t>
      </w: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Алматы</w:t>
      </w:r>
      <w:r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, </w:t>
      </w:r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мкн</w:t>
      </w:r>
      <w:r>
        <w:rPr>
          <w:rFonts w:ascii="Times New Roman" w:eastAsia="Times New Roman" w:hAnsi="Times New Roman"/>
          <w:bCs/>
          <w:iCs/>
          <w:sz w:val="28"/>
          <w:szCs w:val="20"/>
          <w:lang w:val="de-DE" w:eastAsia="cs-CZ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Мирас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, 157, блок 2,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>н.п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  <w:t xml:space="preserve">. 819. Тел. (727) 311-81-96/97, электронный адрес: </w:t>
      </w:r>
      <w:hyperlink r:id="rId11" w:history="1">
        <w:r>
          <w:rPr>
            <w:rStyle w:val="af"/>
            <w:rFonts w:ascii="Times New Roman" w:hAnsi="Times New Roman"/>
            <w:bCs/>
            <w:iCs/>
            <w:sz w:val="28"/>
            <w:szCs w:val="20"/>
            <w:lang w:val="en-US" w:eastAsia="cs-CZ"/>
          </w:rPr>
          <w:t>office</w:t>
        </w:r>
        <w:r>
          <w:rPr>
            <w:rStyle w:val="af"/>
            <w:rFonts w:ascii="Times New Roman" w:hAnsi="Times New Roman"/>
            <w:bCs/>
            <w:iCs/>
            <w:sz w:val="28"/>
            <w:szCs w:val="20"/>
            <w:lang w:eastAsia="cs-CZ"/>
          </w:rPr>
          <w:t>.</w:t>
        </w:r>
        <w:r>
          <w:rPr>
            <w:rStyle w:val="af"/>
            <w:rFonts w:ascii="Times New Roman" w:hAnsi="Times New Roman"/>
            <w:bCs/>
            <w:iCs/>
            <w:sz w:val="28"/>
            <w:szCs w:val="20"/>
            <w:lang w:val="en-US" w:eastAsia="cs-CZ"/>
          </w:rPr>
          <w:t>secretary</w:t>
        </w:r>
        <w:r>
          <w:rPr>
            <w:rStyle w:val="af"/>
            <w:rFonts w:ascii="Times New Roman" w:hAnsi="Times New Roman"/>
            <w:bCs/>
            <w:iCs/>
            <w:sz w:val="28"/>
            <w:szCs w:val="20"/>
            <w:lang w:eastAsia="cs-CZ"/>
          </w:rPr>
          <w:t>@</w:t>
        </w:r>
        <w:proofErr w:type="spellStart"/>
        <w:r>
          <w:rPr>
            <w:rStyle w:val="af"/>
            <w:rFonts w:ascii="Times New Roman" w:hAnsi="Times New Roman"/>
            <w:bCs/>
            <w:iCs/>
            <w:sz w:val="28"/>
            <w:szCs w:val="20"/>
            <w:lang w:val="en-US" w:eastAsia="cs-CZ"/>
          </w:rPr>
          <w:t>rogersgroup</w:t>
        </w:r>
        <w:proofErr w:type="spellEnd"/>
        <w:r>
          <w:rPr>
            <w:rStyle w:val="af"/>
            <w:rFonts w:ascii="Times New Roman" w:hAnsi="Times New Roman"/>
            <w:bCs/>
            <w:iCs/>
            <w:sz w:val="28"/>
            <w:szCs w:val="20"/>
            <w:lang w:eastAsia="cs-CZ"/>
          </w:rPr>
          <w:t>.</w:t>
        </w:r>
        <w:r>
          <w:rPr>
            <w:rStyle w:val="af"/>
            <w:rFonts w:ascii="Times New Roman" w:hAnsi="Times New Roman"/>
            <w:bCs/>
            <w:iCs/>
            <w:sz w:val="28"/>
            <w:szCs w:val="20"/>
            <w:lang w:val="en-US" w:eastAsia="cs-CZ"/>
          </w:rPr>
          <w:t>in</w:t>
        </w:r>
      </w:hyperlink>
    </w:p>
    <w:p w14:paraId="25E573A4" w14:textId="77777777" w:rsidR="001B22D2" w:rsidRDefault="001B22D2" w:rsidP="00976B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</w:p>
    <w:p w14:paraId="6E922B0C" w14:textId="77777777" w:rsidR="00976B04" w:rsidRDefault="00976B04" w:rsidP="00976B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  <w:t xml:space="preserve">на территории Республики Казахстан,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ответственной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пострегистрационное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наблюдение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безопасностью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лекарственного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средства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</w:p>
    <w:p w14:paraId="788A6EB5" w14:textId="77777777" w:rsidR="00976B04" w:rsidRDefault="00976B04" w:rsidP="00976B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Канумуру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И. Г., Республика Казахстан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>, 050043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, г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Мирас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157, блок 2,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н.п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. 819. Тел. (727) 311-81-96/97, моб. +77479911904, электронный адрес: </w:t>
      </w:r>
      <w:hyperlink r:id="rId12" w:history="1"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irina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volovnikova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gmail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6D4FD8" w:rsidRPr="00FD43C9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com</w:t>
        </w:r>
      </w:hyperlink>
    </w:p>
    <w:p w14:paraId="71C5FFA0" w14:textId="77777777" w:rsidR="006D4FD8" w:rsidRDefault="006D4FD8" w:rsidP="00976B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</w:p>
    <w:p w14:paraId="53EC904A" w14:textId="77777777" w:rsidR="00F8747E" w:rsidRPr="00891711" w:rsidRDefault="00F8747E" w:rsidP="00F8747E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</w:p>
    <w:p w14:paraId="356847C4" w14:textId="77777777" w:rsidR="007E1A7B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C95FEB8" w14:textId="77777777" w:rsidR="007E1A7B" w:rsidRPr="00844CE8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159D4DA" w14:textId="77777777" w:rsidR="00844CE8" w:rsidRPr="00844CE8" w:rsidRDefault="00844CE8" w:rsidP="00844CE8">
      <w:pPr>
        <w:pStyle w:val="ConsPlusNormal"/>
        <w:ind w:firstLine="540"/>
        <w:jc w:val="both"/>
        <w:rPr>
          <w:sz w:val="24"/>
          <w:szCs w:val="24"/>
        </w:rPr>
      </w:pPr>
    </w:p>
    <w:p w14:paraId="672D894A" w14:textId="4FD07494" w:rsidR="00B51035" w:rsidRDefault="00B51035"/>
    <w:sectPr w:rsidR="00B51035" w:rsidSect="00F97B5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79C2" w14:textId="77777777" w:rsidR="003B29E0" w:rsidRDefault="003B29E0" w:rsidP="00D275FC">
      <w:pPr>
        <w:spacing w:after="0" w:line="240" w:lineRule="auto"/>
      </w:pPr>
      <w:r>
        <w:separator/>
      </w:r>
    </w:p>
  </w:endnote>
  <w:endnote w:type="continuationSeparator" w:id="0">
    <w:p w14:paraId="604ACB0A" w14:textId="77777777" w:rsidR="003B29E0" w:rsidRDefault="003B29E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954F" w14:textId="77777777" w:rsidR="009D472B" w:rsidRDefault="003B29E0"/>
  <w:p w14:paraId="675FD8A8" w14:textId="77777777" w:rsidR="00B51035" w:rsidRDefault="003B29E0">
    <w:r>
      <w:rPr>
        <w:rFonts w:ascii="Times New Roman" w:eastAsia="Times New Roman" w:hAnsi="Times New Roman"/>
      </w:rPr>
      <w:t>Решение: N052060</w:t>
    </w:r>
    <w:r>
      <w:rPr>
        <w:rFonts w:ascii="Times New Roman" w:eastAsia="Times New Roman" w:hAnsi="Times New Roman"/>
      </w:rPr>
      <w:br/>
      <w:t>Дата решения: 16.05.2022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/>
      </w:rPr>
      <w:t xml:space="preserve">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</w:t>
    </w:r>
    <w:r>
      <w:rPr>
        <w:rFonts w:ascii="Times New Roman" w:eastAsia="Times New Roman" w:hAnsi="Times New Roman"/>
      </w:rPr>
      <w:t>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3FD7" w14:textId="77777777" w:rsidR="009D472B" w:rsidRDefault="003B29E0"/>
  <w:p w14:paraId="1CCFE690" w14:textId="08B8CF65" w:rsidR="00B51035" w:rsidRDefault="00B510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1DE0" w14:textId="77777777" w:rsidR="009D472B" w:rsidRDefault="003B29E0"/>
  <w:p w14:paraId="1FD3ED79" w14:textId="77777777" w:rsidR="00B51035" w:rsidRDefault="003B29E0">
    <w:r>
      <w:rPr>
        <w:rFonts w:ascii="Times New Roman" w:eastAsia="Times New Roman" w:hAnsi="Times New Roman"/>
      </w:rPr>
      <w:t>Решение: N052060</w:t>
    </w:r>
    <w:r>
      <w:rPr>
        <w:rFonts w:ascii="Times New Roman" w:eastAsia="Times New Roman" w:hAnsi="Times New Roman"/>
      </w:rPr>
      <w:br/>
      <w:t>Дата решения: 16.05.2022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медицинского и фармацевтичес</w:t>
    </w:r>
    <w:r>
      <w:rPr>
        <w:rFonts w:ascii="Times New Roman" w:eastAsia="Times New Roman" w:hAnsi="Times New Roman"/>
      </w:rPr>
      <w:t>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89AD" w14:textId="77777777" w:rsidR="003B29E0" w:rsidRDefault="003B29E0" w:rsidP="00D275FC">
      <w:pPr>
        <w:spacing w:after="0" w:line="240" w:lineRule="auto"/>
      </w:pPr>
      <w:r>
        <w:separator/>
      </w:r>
    </w:p>
  </w:footnote>
  <w:footnote w:type="continuationSeparator" w:id="0">
    <w:p w14:paraId="1CF5D6E4" w14:textId="77777777" w:rsidR="003B29E0" w:rsidRDefault="003B29E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940F" w14:textId="77777777" w:rsidR="00D275FC" w:rsidRDefault="002B66C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CC66D" wp14:editId="5975196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5BEA57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CC66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C5BEA57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131CE"/>
    <w:rsid w:val="000264BB"/>
    <w:rsid w:val="00033FC1"/>
    <w:rsid w:val="00034159"/>
    <w:rsid w:val="00042999"/>
    <w:rsid w:val="00074C38"/>
    <w:rsid w:val="000852A1"/>
    <w:rsid w:val="000972E6"/>
    <w:rsid w:val="000A0D71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22D2"/>
    <w:rsid w:val="001B6AEC"/>
    <w:rsid w:val="001E6F4C"/>
    <w:rsid w:val="001F16AA"/>
    <w:rsid w:val="00203355"/>
    <w:rsid w:val="00211005"/>
    <w:rsid w:val="00217D41"/>
    <w:rsid w:val="00222CA6"/>
    <w:rsid w:val="00232642"/>
    <w:rsid w:val="00237697"/>
    <w:rsid w:val="00250EDB"/>
    <w:rsid w:val="00256E10"/>
    <w:rsid w:val="002578F1"/>
    <w:rsid w:val="00260413"/>
    <w:rsid w:val="00260EBC"/>
    <w:rsid w:val="00264710"/>
    <w:rsid w:val="00267567"/>
    <w:rsid w:val="00270B0A"/>
    <w:rsid w:val="002768D8"/>
    <w:rsid w:val="00281FBE"/>
    <w:rsid w:val="00290D2E"/>
    <w:rsid w:val="00292715"/>
    <w:rsid w:val="002A591C"/>
    <w:rsid w:val="002B3270"/>
    <w:rsid w:val="002B66C5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302607"/>
    <w:rsid w:val="003043BF"/>
    <w:rsid w:val="00311CD8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9359F"/>
    <w:rsid w:val="003A035E"/>
    <w:rsid w:val="003A4E3A"/>
    <w:rsid w:val="003B0285"/>
    <w:rsid w:val="003B29E0"/>
    <w:rsid w:val="003B56B7"/>
    <w:rsid w:val="003E13CF"/>
    <w:rsid w:val="003F5344"/>
    <w:rsid w:val="003F7EDC"/>
    <w:rsid w:val="00404548"/>
    <w:rsid w:val="0041162E"/>
    <w:rsid w:val="0042786D"/>
    <w:rsid w:val="00433C62"/>
    <w:rsid w:val="00434D01"/>
    <w:rsid w:val="00471492"/>
    <w:rsid w:val="00472EF5"/>
    <w:rsid w:val="0048687C"/>
    <w:rsid w:val="004A31B4"/>
    <w:rsid w:val="004C1922"/>
    <w:rsid w:val="004C31F1"/>
    <w:rsid w:val="004C462F"/>
    <w:rsid w:val="004D49E9"/>
    <w:rsid w:val="005071DA"/>
    <w:rsid w:val="00512C02"/>
    <w:rsid w:val="00523D82"/>
    <w:rsid w:val="00541A00"/>
    <w:rsid w:val="005444B2"/>
    <w:rsid w:val="00552F8B"/>
    <w:rsid w:val="00561FE7"/>
    <w:rsid w:val="00567FD0"/>
    <w:rsid w:val="00575348"/>
    <w:rsid w:val="005779DE"/>
    <w:rsid w:val="005869C5"/>
    <w:rsid w:val="005A3C81"/>
    <w:rsid w:val="005A4839"/>
    <w:rsid w:val="005A5680"/>
    <w:rsid w:val="005A6639"/>
    <w:rsid w:val="005A6914"/>
    <w:rsid w:val="005B3FFE"/>
    <w:rsid w:val="005C1519"/>
    <w:rsid w:val="005C1C4E"/>
    <w:rsid w:val="005C3E2C"/>
    <w:rsid w:val="005C4A16"/>
    <w:rsid w:val="005C4B12"/>
    <w:rsid w:val="005D68C6"/>
    <w:rsid w:val="005D7EE3"/>
    <w:rsid w:val="005E1C7C"/>
    <w:rsid w:val="005E50DE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64CD6"/>
    <w:rsid w:val="006703A5"/>
    <w:rsid w:val="0067136B"/>
    <w:rsid w:val="00680665"/>
    <w:rsid w:val="00691208"/>
    <w:rsid w:val="00693014"/>
    <w:rsid w:val="006A23C4"/>
    <w:rsid w:val="006A702E"/>
    <w:rsid w:val="006B7A90"/>
    <w:rsid w:val="006C577B"/>
    <w:rsid w:val="006C5F38"/>
    <w:rsid w:val="006C6558"/>
    <w:rsid w:val="006D4FD8"/>
    <w:rsid w:val="006D7D5A"/>
    <w:rsid w:val="006E4305"/>
    <w:rsid w:val="006F5763"/>
    <w:rsid w:val="00704BAB"/>
    <w:rsid w:val="007104D1"/>
    <w:rsid w:val="007135A6"/>
    <w:rsid w:val="007224B0"/>
    <w:rsid w:val="00732F32"/>
    <w:rsid w:val="00733A73"/>
    <w:rsid w:val="00736B6C"/>
    <w:rsid w:val="00745CFF"/>
    <w:rsid w:val="00746FF2"/>
    <w:rsid w:val="00761133"/>
    <w:rsid w:val="00764E84"/>
    <w:rsid w:val="007762F8"/>
    <w:rsid w:val="00783520"/>
    <w:rsid w:val="00797461"/>
    <w:rsid w:val="007A02D3"/>
    <w:rsid w:val="007A18B1"/>
    <w:rsid w:val="007C055A"/>
    <w:rsid w:val="007C1693"/>
    <w:rsid w:val="007D0E84"/>
    <w:rsid w:val="007D681B"/>
    <w:rsid w:val="007E1A7B"/>
    <w:rsid w:val="007E1D85"/>
    <w:rsid w:val="007E1FBB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6B6B"/>
    <w:rsid w:val="008606AB"/>
    <w:rsid w:val="0086657B"/>
    <w:rsid w:val="008770A0"/>
    <w:rsid w:val="008832E5"/>
    <w:rsid w:val="00891711"/>
    <w:rsid w:val="00897669"/>
    <w:rsid w:val="00897DD5"/>
    <w:rsid w:val="008A10A3"/>
    <w:rsid w:val="008C0181"/>
    <w:rsid w:val="008D4451"/>
    <w:rsid w:val="008D62B7"/>
    <w:rsid w:val="008E6895"/>
    <w:rsid w:val="008F371A"/>
    <w:rsid w:val="00900B3C"/>
    <w:rsid w:val="00904FB5"/>
    <w:rsid w:val="0091136C"/>
    <w:rsid w:val="009157ED"/>
    <w:rsid w:val="00926C38"/>
    <w:rsid w:val="00930D7D"/>
    <w:rsid w:val="0095047E"/>
    <w:rsid w:val="00954059"/>
    <w:rsid w:val="00956101"/>
    <w:rsid w:val="00960962"/>
    <w:rsid w:val="00962CD6"/>
    <w:rsid w:val="00976B04"/>
    <w:rsid w:val="00993A60"/>
    <w:rsid w:val="00996F90"/>
    <w:rsid w:val="009B014E"/>
    <w:rsid w:val="009B03E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8185B"/>
    <w:rsid w:val="00AA5E2F"/>
    <w:rsid w:val="00AA7317"/>
    <w:rsid w:val="00AC2C0B"/>
    <w:rsid w:val="00AC4905"/>
    <w:rsid w:val="00AE0BD5"/>
    <w:rsid w:val="00AE7922"/>
    <w:rsid w:val="00B01011"/>
    <w:rsid w:val="00B11878"/>
    <w:rsid w:val="00B46F30"/>
    <w:rsid w:val="00B51035"/>
    <w:rsid w:val="00B608C1"/>
    <w:rsid w:val="00B60D3D"/>
    <w:rsid w:val="00B61D95"/>
    <w:rsid w:val="00B742B0"/>
    <w:rsid w:val="00B9187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566D6"/>
    <w:rsid w:val="00C839ED"/>
    <w:rsid w:val="00C84299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CF7FDE"/>
    <w:rsid w:val="00D0233C"/>
    <w:rsid w:val="00D066FC"/>
    <w:rsid w:val="00D11462"/>
    <w:rsid w:val="00D14D61"/>
    <w:rsid w:val="00D219AA"/>
    <w:rsid w:val="00D22A47"/>
    <w:rsid w:val="00D275FC"/>
    <w:rsid w:val="00D3576E"/>
    <w:rsid w:val="00D43297"/>
    <w:rsid w:val="00D46B0B"/>
    <w:rsid w:val="00D55ED8"/>
    <w:rsid w:val="00D70DB6"/>
    <w:rsid w:val="00D76048"/>
    <w:rsid w:val="00D93C80"/>
    <w:rsid w:val="00D96A8F"/>
    <w:rsid w:val="00DA4BFC"/>
    <w:rsid w:val="00DB406A"/>
    <w:rsid w:val="00DF11A7"/>
    <w:rsid w:val="00E03E8D"/>
    <w:rsid w:val="00E271CB"/>
    <w:rsid w:val="00E34FE3"/>
    <w:rsid w:val="00E5488B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D5503"/>
    <w:rsid w:val="00EF4C53"/>
    <w:rsid w:val="00F006F1"/>
    <w:rsid w:val="00F07B7B"/>
    <w:rsid w:val="00F23B95"/>
    <w:rsid w:val="00F40388"/>
    <w:rsid w:val="00F5460E"/>
    <w:rsid w:val="00F63389"/>
    <w:rsid w:val="00F8747E"/>
    <w:rsid w:val="00F91977"/>
    <w:rsid w:val="00F97B57"/>
    <w:rsid w:val="00FA4F7C"/>
    <w:rsid w:val="00FB0456"/>
    <w:rsid w:val="00FB47F4"/>
    <w:rsid w:val="00FD2B12"/>
    <w:rsid w:val="00FD2B9F"/>
    <w:rsid w:val="00FE566D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DA281"/>
  <w15:docId w15:val="{7B72536C-5C6D-4C39-93C6-916FC6CC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6D4FD8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1B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drpharma@vsn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rpharma@vsn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7246-2482-4889-988D-16B507CE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3614</Words>
  <Characters>20602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24168</CharactersWithSpaces>
  <SharedDoc>false</SharedDoc>
  <HLinks>
    <vt:vector size="18" baseType="variant">
      <vt:variant>
        <vt:i4>7077902</vt:i4>
      </vt:variant>
      <vt:variant>
        <vt:i4>6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7</cp:revision>
  <cp:lastPrinted>2018-03-22T06:08:00Z</cp:lastPrinted>
  <dcterms:created xsi:type="dcterms:W3CDTF">2022-04-18T06:13:00Z</dcterms:created>
  <dcterms:modified xsi:type="dcterms:W3CDTF">2022-05-17T11:01:00Z</dcterms:modified>
</cp:coreProperties>
</file>